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2032" w14:textId="1FF9CF94" w:rsidR="00644946" w:rsidRPr="002703E3" w:rsidRDefault="00434C85" w:rsidP="002703E3">
      <w:pPr>
        <w:spacing w:line="276" w:lineRule="auto"/>
        <w:rPr>
          <w:rFonts w:ascii="Calibri" w:hAnsi="Calibri" w:cs="Calibri"/>
          <w:color w:val="152E5F"/>
          <w:sz w:val="28"/>
          <w:szCs w:val="28"/>
        </w:rPr>
      </w:pPr>
      <w:r w:rsidRPr="002703E3">
        <w:rPr>
          <w:noProof/>
          <w:color w:val="152E5F"/>
          <w:sz w:val="28"/>
          <w:szCs w:val="28"/>
        </w:rPr>
        <w:drawing>
          <wp:anchor distT="0" distB="0" distL="114300" distR="114300" simplePos="0" relativeHeight="251658240" behindDoc="0" locked="0" layoutInCell="1" allowOverlap="1" wp14:anchorId="6008D502" wp14:editId="0C835191">
            <wp:simplePos x="0" y="0"/>
            <wp:positionH relativeFrom="column">
              <wp:posOffset>5863590</wp:posOffset>
            </wp:positionH>
            <wp:positionV relativeFrom="paragraph">
              <wp:posOffset>72247</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00644946" w:rsidRPr="002703E3">
        <w:rPr>
          <w:rFonts w:ascii="Calibri" w:hAnsi="Calibri" w:cs="Calibri"/>
          <w:color w:val="152E5F"/>
          <w:sz w:val="28"/>
          <w:szCs w:val="28"/>
        </w:rPr>
        <w:t xml:space="preserve">Benefits Access for Student Success: </w:t>
      </w:r>
      <w:r w:rsidR="004C7734">
        <w:rPr>
          <w:rFonts w:ascii="Calibri" w:hAnsi="Calibri" w:cs="Calibri"/>
          <w:color w:val="152E5F"/>
          <w:sz w:val="28"/>
          <w:szCs w:val="28"/>
        </w:rPr>
        <w:t>Leveraging</w:t>
      </w:r>
      <w:r w:rsidR="00644946" w:rsidRPr="002703E3">
        <w:rPr>
          <w:rFonts w:ascii="Calibri" w:hAnsi="Calibri" w:cs="Calibri"/>
          <w:color w:val="152E5F"/>
          <w:sz w:val="28"/>
          <w:szCs w:val="28"/>
        </w:rPr>
        <w:t xml:space="preserve"> Data to Find Eligible Students</w:t>
      </w:r>
    </w:p>
    <w:p w14:paraId="0665C7C6" w14:textId="4A53B7C1" w:rsidR="00652B7C" w:rsidRPr="00434C85" w:rsidRDefault="00FF57F4" w:rsidP="002703E3">
      <w:pPr>
        <w:spacing w:line="276" w:lineRule="auto"/>
        <w:rPr>
          <w:rFonts w:ascii="Calibri" w:hAnsi="Calibri" w:cs="Calibri"/>
          <w:b/>
          <w:bCs/>
          <w:color w:val="152E5F"/>
          <w:sz w:val="40"/>
          <w:szCs w:val="40"/>
        </w:rPr>
      </w:pPr>
      <w:r>
        <w:rPr>
          <w:rFonts w:ascii="Calibri" w:hAnsi="Calibri" w:cs="Calibri"/>
          <w:b/>
          <w:bCs/>
          <w:color w:val="152E5F"/>
          <w:sz w:val="40"/>
          <w:szCs w:val="40"/>
        </w:rPr>
        <w:t>Introduction</w:t>
      </w:r>
    </w:p>
    <w:p w14:paraId="6727212D" w14:textId="54BD785E" w:rsidR="00652B7C" w:rsidRDefault="00616854" w:rsidP="0096113D">
      <w:pPr>
        <w:spacing w:line="360" w:lineRule="auto"/>
        <w:rPr>
          <w:sz w:val="32"/>
          <w:szCs w:val="32"/>
        </w:rPr>
      </w:pPr>
      <w:r>
        <w:rPr>
          <w:noProof/>
        </w:rPr>
        <mc:AlternateContent>
          <mc:Choice Requires="wps">
            <w:drawing>
              <wp:anchor distT="0" distB="0" distL="114300" distR="114300" simplePos="0" relativeHeight="251658241" behindDoc="0" locked="0" layoutInCell="1" allowOverlap="1" wp14:anchorId="53E343D7" wp14:editId="6707389D">
                <wp:simplePos x="0" y="0"/>
                <wp:positionH relativeFrom="column">
                  <wp:posOffset>11430</wp:posOffset>
                </wp:positionH>
                <wp:positionV relativeFrom="paragraph">
                  <wp:posOffset>81915</wp:posOffset>
                </wp:positionV>
                <wp:extent cx="6883400" cy="45085"/>
                <wp:effectExtent l="0" t="0" r="0" b="5715"/>
                <wp:wrapNone/>
                <wp:docPr id="4" name="Rectangle 4"/>
                <wp:cNvGraphicFramePr/>
                <a:graphic xmlns:a="http://schemas.openxmlformats.org/drawingml/2006/main">
                  <a:graphicData uri="http://schemas.microsoft.com/office/word/2010/wordprocessingShape">
                    <wps:wsp>
                      <wps:cNvSpPr/>
                      <wps:spPr>
                        <a:xfrm>
                          <a:off x="0" y="0"/>
                          <a:ext cx="6883400" cy="45085"/>
                        </a:xfrm>
                        <a:prstGeom prst="rect">
                          <a:avLst/>
                        </a:prstGeom>
                        <a:gradFill flip="none" rotWithShape="1">
                          <a:gsLst>
                            <a:gs pos="3000">
                              <a:srgbClr val="A9CC38"/>
                            </a:gs>
                            <a:gs pos="48000">
                              <a:srgbClr val="3399E1"/>
                            </a:gs>
                            <a:gs pos="100000">
                              <a:srgbClr val="152E5F"/>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49133" id="Rectangle 4" o:spid="_x0000_s1026" style="position:absolute;margin-left:.9pt;margin-top:6.45pt;width:542pt;height:3.55pt;z-index:251714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" fillcolor="#a9cc38" stroked="f" strokeweight="1pt">
                <v:fill color2="#152e5f" rotate="t" angle="90" colors="0 #a9cc38;1966f #a9cc38;31457f #3399e1" focus="100%" type="gradient"/>
              </v:rect>
            </w:pict>
          </mc:Fallback>
        </mc:AlternateContent>
      </w:r>
    </w:p>
    <w:p w14:paraId="5BAE87AE" w14:textId="77777777" w:rsidR="00D73ACA" w:rsidRDefault="00D73ACA" w:rsidP="00D46B4E">
      <w:pPr>
        <w:pStyle w:val="paragraph"/>
        <w:spacing w:before="0" w:beforeAutospacing="0" w:after="240" w:afterAutospacing="0" w:line="276" w:lineRule="auto"/>
        <w:ind w:right="216"/>
        <w:textAlignment w:val="baseline"/>
        <w:rPr>
          <w:rStyle w:val="normaltextrun"/>
          <w:rFonts w:ascii="Calibri" w:hAnsi="Calibri" w:cs="Calibri"/>
          <w:color w:val="000000"/>
          <w:sz w:val="22"/>
          <w:szCs w:val="22"/>
        </w:rPr>
      </w:pPr>
      <w:r w:rsidRPr="00EE6312">
        <w:rPr>
          <w:rStyle w:val="normaltextrun"/>
          <w:rFonts w:ascii="Calibri" w:hAnsi="Calibri" w:cs="Calibri"/>
          <w:color w:val="000000"/>
          <w:sz w:val="22"/>
          <w:szCs w:val="22"/>
        </w:rPr>
        <w:t xml:space="preserve">Each year, millions of college students struggle to pay for their education and basic needs, including food, childcare, housing, healthcare, and internet service. Among those students are a </w:t>
      </w:r>
      <w:hyperlink r:id="rId13" w:history="1">
        <w:r w:rsidRPr="00537F23">
          <w:rPr>
            <w:rStyle w:val="Hyperlink"/>
            <w:rFonts w:ascii="Calibri" w:hAnsi="Calibri" w:cs="Calibri"/>
            <w:sz w:val="22"/>
            <w:szCs w:val="22"/>
          </w:rPr>
          <w:t>disproportionate number of first-generation students and students of color</w:t>
        </w:r>
      </w:hyperlink>
      <w:r w:rsidRPr="00EE6312">
        <w:rPr>
          <w:rStyle w:val="normaltextrun"/>
          <w:rFonts w:ascii="Calibri" w:hAnsi="Calibri" w:cs="Calibri"/>
          <w:color w:val="000000"/>
          <w:sz w:val="22"/>
          <w:szCs w:val="22"/>
        </w:rPr>
        <w:t>. This toolkit aims to build institutional capacity to enable all students to put food on the table, improve health outcomes, focus on school, and graduate.</w:t>
      </w:r>
    </w:p>
    <w:p w14:paraId="2CFAD4DE" w14:textId="22B8B342" w:rsidR="00942335" w:rsidRPr="003A1F95" w:rsidRDefault="00354771" w:rsidP="00216ACD">
      <w:pPr>
        <w:rPr>
          <w:b/>
          <w:bCs/>
          <w:color w:val="152E5F"/>
          <w:sz w:val="22"/>
          <w:szCs w:val="22"/>
        </w:rPr>
      </w:pPr>
      <w:r w:rsidRPr="003A1F95">
        <w:rPr>
          <w:rFonts w:ascii="Calibri" w:eastAsia="Calibri" w:hAnsi="Calibri" w:cs="Calibri"/>
          <w:b/>
          <w:bCs/>
          <w:color w:val="152E5F"/>
          <w:sz w:val="22"/>
          <w:szCs w:val="22"/>
        </w:rPr>
        <w:t>Many students are eligible for, but not receiving public benefits that can</w:t>
      </w:r>
      <w:r w:rsidRPr="003A1F95">
        <w:rPr>
          <w:b/>
          <w:bCs/>
          <w:color w:val="152E5F"/>
          <w:sz w:val="22"/>
          <w:szCs w:val="22"/>
        </w:rPr>
        <w:t xml:space="preserve"> help them stay enrolled in school.</w:t>
      </w:r>
      <w:r w:rsidR="003B02FC" w:rsidRPr="003B02FC">
        <w:rPr>
          <w:rStyle w:val="FootnoteReference"/>
          <w:b/>
          <w:bCs/>
          <w:color w:val="FFFFFF" w:themeColor="background1"/>
          <w:sz w:val="22"/>
          <w:szCs w:val="22"/>
        </w:rPr>
        <w:footnoteReference w:id="2"/>
      </w:r>
    </w:p>
    <w:p w14:paraId="7D8FA0AD" w14:textId="3F2D491D" w:rsidR="00942335" w:rsidRDefault="0088373F" w:rsidP="00354771">
      <w:pPr>
        <w:rPr>
          <w:sz w:val="22"/>
          <w:szCs w:val="22"/>
        </w:rPr>
      </w:pPr>
      <w:r>
        <w:rPr>
          <w:rFonts w:ascii="Calibri" w:eastAsia="Calibri" w:hAnsi="Calibri" w:cs="Calibri"/>
          <w:noProof/>
          <w:color w:val="000000" w:themeColor="text1"/>
          <w:sz w:val="22"/>
          <w:szCs w:val="22"/>
        </w:rPr>
        <mc:AlternateContent>
          <mc:Choice Requires="wpg">
            <w:drawing>
              <wp:anchor distT="0" distB="0" distL="114300" distR="114300" simplePos="0" relativeHeight="251662337" behindDoc="0" locked="0" layoutInCell="1" allowOverlap="1" wp14:anchorId="283E59D3" wp14:editId="5527E96D">
                <wp:simplePos x="0" y="0"/>
                <wp:positionH relativeFrom="column">
                  <wp:posOffset>3490546</wp:posOffset>
                </wp:positionH>
                <wp:positionV relativeFrom="paragraph">
                  <wp:posOffset>112737</wp:posOffset>
                </wp:positionV>
                <wp:extent cx="3402330" cy="1398979"/>
                <wp:effectExtent l="0" t="0" r="13970" b="10795"/>
                <wp:wrapNone/>
                <wp:docPr id="1" name="Group 1"/>
                <wp:cNvGraphicFramePr/>
                <a:graphic xmlns:a="http://schemas.openxmlformats.org/drawingml/2006/main">
                  <a:graphicData uri="http://schemas.microsoft.com/office/word/2010/wordprocessingGroup">
                    <wpg:wgp>
                      <wpg:cNvGrpSpPr/>
                      <wpg:grpSpPr>
                        <a:xfrm>
                          <a:off x="0" y="0"/>
                          <a:ext cx="3402330" cy="1398979"/>
                          <a:chOff x="-1547524" y="0"/>
                          <a:chExt cx="3403420" cy="1399592"/>
                        </a:xfrm>
                      </wpg:grpSpPr>
                      <wps:wsp>
                        <wps:cNvPr id="3" name="Rounded Rectangle 3"/>
                        <wps:cNvSpPr/>
                        <wps:spPr>
                          <a:xfrm>
                            <a:off x="-1547524" y="0"/>
                            <a:ext cx="3403420" cy="1399592"/>
                          </a:xfrm>
                          <a:prstGeom prst="roundRect">
                            <a:avLst>
                              <a:gd name="adj" fmla="val 3877"/>
                            </a:avLst>
                          </a:prstGeom>
                          <a:solidFill>
                            <a:srgbClr val="E2E8F0"/>
                          </a:solidFill>
                          <a:ln>
                            <a:solidFill>
                              <a:srgbClr val="152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327702" y="149444"/>
                            <a:ext cx="2980187" cy="1232532"/>
                          </a:xfrm>
                          <a:prstGeom prst="rect">
                            <a:avLst/>
                          </a:prstGeom>
                          <a:noFill/>
                          <a:ln w="6350">
                            <a:noFill/>
                          </a:ln>
                        </wps:spPr>
                        <wps:txbx>
                          <w:txbxContent>
                            <w:p w14:paraId="190C56C0" w14:textId="70612D22" w:rsidR="003A1F95" w:rsidRPr="00216ACD" w:rsidRDefault="003A1F95" w:rsidP="003A1F95">
                              <w:pPr>
                                <w:jc w:val="center"/>
                                <w:rPr>
                                  <w:rFonts w:ascii="Calibri" w:eastAsia="Calibri" w:hAnsi="Calibri" w:cs="Calibri"/>
                                  <w:color w:val="000000" w:themeColor="text1"/>
                                  <w:sz w:val="22"/>
                                  <w:szCs w:val="22"/>
                                </w:rPr>
                              </w:pPr>
                              <w:r w:rsidRPr="00216ACD">
                                <w:rPr>
                                  <w:sz w:val="22"/>
                                  <w:szCs w:val="22"/>
                                </w:rPr>
                                <w:t xml:space="preserve">Similarly, the new Affordable Connectivity Program (ACP) is poised to help over </w:t>
                              </w:r>
                              <w:hyperlink r:id="rId14" w:history="1">
                                <w:r w:rsidRPr="00216ACD">
                                  <w:rPr>
                                    <w:rStyle w:val="Hyperlink"/>
                                    <w:sz w:val="22"/>
                                    <w:szCs w:val="22"/>
                                  </w:rPr>
                                  <w:t>6 million Pell Grant recipients</w:t>
                                </w:r>
                              </w:hyperlink>
                              <w:r w:rsidRPr="00216ACD">
                                <w:rPr>
                                  <w:sz w:val="22"/>
                                  <w:szCs w:val="22"/>
                                </w:rPr>
                                <w:t xml:space="preserve"> pay for high-speed internet service, yet as of </w:t>
                              </w:r>
                              <w:r w:rsidR="00323FAB">
                                <w:rPr>
                                  <w:sz w:val="22"/>
                                  <w:szCs w:val="22"/>
                                </w:rPr>
                                <w:t>January 2023</w:t>
                              </w:r>
                              <w:r w:rsidRPr="00216ACD">
                                <w:rPr>
                                  <w:sz w:val="22"/>
                                  <w:szCs w:val="22"/>
                                </w:rPr>
                                <w:t xml:space="preserve">, </w:t>
                              </w:r>
                              <w:hyperlink r:id="rId15" w:history="1">
                                <w:r w:rsidR="00E0596F">
                                  <w:rPr>
                                    <w:rStyle w:val="Hyperlink"/>
                                    <w:sz w:val="22"/>
                                    <w:szCs w:val="22"/>
                                  </w:rPr>
                                  <w:t>only</w:t>
                                </w:r>
                                <w:r w:rsidRPr="00216ACD">
                                  <w:rPr>
                                    <w:rStyle w:val="Hyperlink"/>
                                    <w:sz w:val="22"/>
                                    <w:szCs w:val="22"/>
                                  </w:rPr>
                                  <w:t xml:space="preserve"> </w:t>
                                </w:r>
                                <w:r w:rsidR="00674187">
                                  <w:rPr>
                                    <w:rStyle w:val="Hyperlink"/>
                                    <w:sz w:val="22"/>
                                    <w:szCs w:val="22"/>
                                  </w:rPr>
                                  <w:t xml:space="preserve">an estimated </w:t>
                                </w:r>
                                <w:r w:rsidR="00E0596F">
                                  <w:rPr>
                                    <w:rStyle w:val="Hyperlink"/>
                                    <w:sz w:val="22"/>
                                    <w:szCs w:val="22"/>
                                  </w:rPr>
                                  <w:t>6</w:t>
                                </w:r>
                                <w:r w:rsidR="00323FAB">
                                  <w:rPr>
                                    <w:rStyle w:val="Hyperlink"/>
                                    <w:sz w:val="22"/>
                                    <w:szCs w:val="22"/>
                                  </w:rPr>
                                  <w:t>5</w:t>
                                </w:r>
                                <w:r w:rsidRPr="00216ACD">
                                  <w:rPr>
                                    <w:rStyle w:val="Hyperlink"/>
                                    <w:sz w:val="22"/>
                                    <w:szCs w:val="22"/>
                                  </w:rPr>
                                  <w:t>0,000</w:t>
                                </w:r>
                                <w:r w:rsidR="00EA7117">
                                  <w:rPr>
                                    <w:rStyle w:val="Hyperlink"/>
                                    <w:sz w:val="22"/>
                                    <w:szCs w:val="22"/>
                                  </w:rPr>
                                  <w:t xml:space="preserve"> households with</w:t>
                                </w:r>
                                <w:r w:rsidRPr="00216ACD">
                                  <w:rPr>
                                    <w:rStyle w:val="Hyperlink"/>
                                    <w:sz w:val="22"/>
                                    <w:szCs w:val="22"/>
                                  </w:rPr>
                                  <w:t xml:space="preserve"> Pell recipients</w:t>
                                </w:r>
                              </w:hyperlink>
                              <w:r w:rsidRPr="00216ACD">
                                <w:rPr>
                                  <w:sz w:val="22"/>
                                  <w:szCs w:val="22"/>
                                </w:rPr>
                                <w:t xml:space="preserve"> have enrolled in the program. </w:t>
                              </w:r>
                            </w:p>
                            <w:p w14:paraId="5C99CE14" w14:textId="4CBD665A" w:rsidR="009F2E69" w:rsidRPr="00216ACD" w:rsidRDefault="009F2E69" w:rsidP="003A1F95">
                              <w:pPr>
                                <w:jc w:val="center"/>
                                <w:rPr>
                                  <w:rFonts w:ascii="Calibri" w:hAnsi="Calibri" w:cs="Calibri"/>
                                  <w:color w:val="152E5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3E59D3" id="Group 1" o:spid="_x0000_s1026" style="position:absolute;margin-left:274.85pt;margin-top:8.9pt;width:267.9pt;height:110.15pt;z-index:251662337;mso-width-relative:margin;mso-height-relative:margin" coordorigin="-15475" coordsize="34034,13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">
                <v:roundrect id="Rounded Rectangle 3" o:spid="_x0000_s1027" style="position:absolute;left:-15475;width:34033;height:13995;visibility:visible;mso-wrap-style:square;v-text-anchor:middle" arcsize="253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" fillcolor="#e2e8f0" strokecolor="#152e5f" strokeweight="1pt">
                  <v:stroke joinstyle="miter"/>
                </v:roundrect>
                <v:shapetype id="_x0000_t202" coordsize="21600,21600" o:spt="202" path="m,l,21600r21600,l21600,xe">
                  <v:stroke joinstyle="miter"/>
                  <v:path gradientshapeok="t" o:connecttype="rect"/>
                </v:shapetype>
                <v:shape id="Text Box 5" o:spid="_x0000_s1028" type="#_x0000_t202" style="position:absolute;left:-13277;top:1494;width:29801;height:123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14:paraId="190C56C0" w14:textId="70612D22" w:rsidR="003A1F95" w:rsidRPr="00216ACD" w:rsidRDefault="003A1F95" w:rsidP="003A1F95">
                        <w:pPr>
                          <w:jc w:val="center"/>
                          <w:rPr>
                            <w:rFonts w:ascii="Calibri" w:eastAsia="Calibri" w:hAnsi="Calibri" w:cs="Calibri"/>
                            <w:color w:val="000000" w:themeColor="text1"/>
                            <w:sz w:val="22"/>
                            <w:szCs w:val="22"/>
                          </w:rPr>
                        </w:pPr>
                        <w:r w:rsidRPr="00216ACD">
                          <w:rPr>
                            <w:sz w:val="22"/>
                            <w:szCs w:val="22"/>
                          </w:rPr>
                          <w:t xml:space="preserve">Similarly, the new Affordable Connectivity Program (ACP) is poised to help over </w:t>
                        </w:r>
                        <w:hyperlink r:id="rId16" w:history="1">
                          <w:r w:rsidRPr="00216ACD">
                            <w:rPr>
                              <w:rStyle w:val="Hyperlink"/>
                              <w:sz w:val="22"/>
                              <w:szCs w:val="22"/>
                            </w:rPr>
                            <w:t>6 million Pell Grant recipients</w:t>
                          </w:r>
                        </w:hyperlink>
                        <w:r w:rsidRPr="00216ACD">
                          <w:rPr>
                            <w:sz w:val="22"/>
                            <w:szCs w:val="22"/>
                          </w:rPr>
                          <w:t xml:space="preserve"> pay for high-speed internet service, yet as of </w:t>
                        </w:r>
                        <w:r w:rsidR="00323FAB">
                          <w:rPr>
                            <w:sz w:val="22"/>
                            <w:szCs w:val="22"/>
                          </w:rPr>
                          <w:t>January 2023</w:t>
                        </w:r>
                        <w:r w:rsidRPr="00216ACD">
                          <w:rPr>
                            <w:sz w:val="22"/>
                            <w:szCs w:val="22"/>
                          </w:rPr>
                          <w:t xml:space="preserve">, </w:t>
                        </w:r>
                        <w:hyperlink r:id="rId17" w:history="1">
                          <w:r w:rsidR="00E0596F">
                            <w:rPr>
                              <w:rStyle w:val="Hyperlink"/>
                              <w:sz w:val="22"/>
                              <w:szCs w:val="22"/>
                            </w:rPr>
                            <w:t>only</w:t>
                          </w:r>
                          <w:r w:rsidRPr="00216ACD">
                            <w:rPr>
                              <w:rStyle w:val="Hyperlink"/>
                              <w:sz w:val="22"/>
                              <w:szCs w:val="22"/>
                            </w:rPr>
                            <w:t xml:space="preserve"> </w:t>
                          </w:r>
                          <w:r w:rsidR="00674187">
                            <w:rPr>
                              <w:rStyle w:val="Hyperlink"/>
                              <w:sz w:val="22"/>
                              <w:szCs w:val="22"/>
                            </w:rPr>
                            <w:t xml:space="preserve">an estimated </w:t>
                          </w:r>
                          <w:r w:rsidR="00E0596F">
                            <w:rPr>
                              <w:rStyle w:val="Hyperlink"/>
                              <w:sz w:val="22"/>
                              <w:szCs w:val="22"/>
                            </w:rPr>
                            <w:t>6</w:t>
                          </w:r>
                          <w:r w:rsidR="00323FAB">
                            <w:rPr>
                              <w:rStyle w:val="Hyperlink"/>
                              <w:sz w:val="22"/>
                              <w:szCs w:val="22"/>
                            </w:rPr>
                            <w:t>5</w:t>
                          </w:r>
                          <w:r w:rsidRPr="00216ACD">
                            <w:rPr>
                              <w:rStyle w:val="Hyperlink"/>
                              <w:sz w:val="22"/>
                              <w:szCs w:val="22"/>
                            </w:rPr>
                            <w:t>0,000</w:t>
                          </w:r>
                          <w:r w:rsidR="00EA7117">
                            <w:rPr>
                              <w:rStyle w:val="Hyperlink"/>
                              <w:sz w:val="22"/>
                              <w:szCs w:val="22"/>
                            </w:rPr>
                            <w:t xml:space="preserve"> households with</w:t>
                          </w:r>
                          <w:r w:rsidRPr="00216ACD">
                            <w:rPr>
                              <w:rStyle w:val="Hyperlink"/>
                              <w:sz w:val="22"/>
                              <w:szCs w:val="22"/>
                            </w:rPr>
                            <w:t xml:space="preserve"> Pell recipients</w:t>
                          </w:r>
                        </w:hyperlink>
                        <w:r w:rsidRPr="00216ACD">
                          <w:rPr>
                            <w:sz w:val="22"/>
                            <w:szCs w:val="22"/>
                          </w:rPr>
                          <w:t xml:space="preserve"> have enrolled in the program. </w:t>
                        </w:r>
                      </w:p>
                      <w:p w14:paraId="5C99CE14" w14:textId="4CBD665A" w:rsidR="009F2E69" w:rsidRPr="00216ACD" w:rsidRDefault="009F2E69" w:rsidP="003A1F95">
                        <w:pPr>
                          <w:jc w:val="center"/>
                          <w:rPr>
                            <w:rFonts w:ascii="Calibri" w:hAnsi="Calibri" w:cs="Calibri"/>
                            <w:color w:val="152E5F"/>
                            <w:sz w:val="22"/>
                            <w:szCs w:val="22"/>
                          </w:rPr>
                        </w:pPr>
                      </w:p>
                    </w:txbxContent>
                  </v:textbox>
                </v:shape>
              </v:group>
            </w:pict>
          </mc:Fallback>
        </mc:AlternateContent>
      </w:r>
      <w:r w:rsidR="009D2771">
        <w:rPr>
          <w:rFonts w:ascii="Calibri" w:eastAsia="Calibri" w:hAnsi="Calibri" w:cs="Calibri"/>
          <w:noProof/>
          <w:color w:val="000000" w:themeColor="text1"/>
          <w:sz w:val="22"/>
          <w:szCs w:val="22"/>
        </w:rPr>
        <mc:AlternateContent>
          <mc:Choice Requires="wpg">
            <w:drawing>
              <wp:anchor distT="0" distB="0" distL="114300" distR="114300" simplePos="0" relativeHeight="251660289" behindDoc="0" locked="0" layoutInCell="1" allowOverlap="1" wp14:anchorId="0ED8774F" wp14:editId="5C74A6D7">
                <wp:simplePos x="0" y="0"/>
                <wp:positionH relativeFrom="column">
                  <wp:posOffset>8255</wp:posOffset>
                </wp:positionH>
                <wp:positionV relativeFrom="paragraph">
                  <wp:posOffset>96520</wp:posOffset>
                </wp:positionV>
                <wp:extent cx="3340735" cy="1399540"/>
                <wp:effectExtent l="0" t="0" r="12065" b="10160"/>
                <wp:wrapNone/>
                <wp:docPr id="22" name="Group 22"/>
                <wp:cNvGraphicFramePr/>
                <a:graphic xmlns:a="http://schemas.openxmlformats.org/drawingml/2006/main">
                  <a:graphicData uri="http://schemas.microsoft.com/office/word/2010/wordprocessingGroup">
                    <wpg:wgp>
                      <wpg:cNvGrpSpPr/>
                      <wpg:grpSpPr>
                        <a:xfrm>
                          <a:off x="0" y="0"/>
                          <a:ext cx="3340735" cy="1399540"/>
                          <a:chOff x="-1547523" y="0"/>
                          <a:chExt cx="3342555" cy="1399592"/>
                        </a:xfrm>
                      </wpg:grpSpPr>
                      <wps:wsp>
                        <wps:cNvPr id="6" name="Rounded Rectangle 6"/>
                        <wps:cNvSpPr/>
                        <wps:spPr>
                          <a:xfrm>
                            <a:off x="-1547523" y="0"/>
                            <a:ext cx="3342555" cy="1399592"/>
                          </a:xfrm>
                          <a:prstGeom prst="roundRect">
                            <a:avLst>
                              <a:gd name="adj" fmla="val 3877"/>
                            </a:avLst>
                          </a:prstGeom>
                          <a:solidFill>
                            <a:srgbClr val="E2E8F0"/>
                          </a:solidFill>
                          <a:ln>
                            <a:solidFill>
                              <a:srgbClr val="152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398029" y="290157"/>
                            <a:ext cx="3061446" cy="1056958"/>
                          </a:xfrm>
                          <a:prstGeom prst="rect">
                            <a:avLst/>
                          </a:prstGeom>
                          <a:noFill/>
                          <a:ln w="6350">
                            <a:noFill/>
                          </a:ln>
                        </wps:spPr>
                        <wps:txbx>
                          <w:txbxContent>
                            <w:p w14:paraId="7D0D9596" w14:textId="67A2448A" w:rsidR="00942335" w:rsidRPr="009D2771" w:rsidRDefault="009F2E69" w:rsidP="00942335">
                              <w:pPr>
                                <w:jc w:val="center"/>
                                <w:rPr>
                                  <w:rFonts w:ascii="Calibri" w:hAnsi="Calibri" w:cs="Calibri"/>
                                  <w:color w:val="152E5F"/>
                                  <w:sz w:val="22"/>
                                  <w:szCs w:val="22"/>
                                </w:rPr>
                              </w:pPr>
                              <w:r w:rsidRPr="009D2771">
                                <w:rPr>
                                  <w:sz w:val="22"/>
                                  <w:szCs w:val="22"/>
                                </w:rPr>
                                <w:t>Annually,</w:t>
                              </w:r>
                              <w:r w:rsidRPr="009D2771">
                                <w:rPr>
                                  <w:b/>
                                  <w:bCs/>
                                  <w:sz w:val="22"/>
                                  <w:szCs w:val="22"/>
                                </w:rPr>
                                <w:t xml:space="preserve"> </w:t>
                              </w:r>
                              <w:hyperlink r:id="rId18" w:history="1">
                                <w:r w:rsidRPr="009D2771">
                                  <w:rPr>
                                    <w:rStyle w:val="Hyperlink"/>
                                    <w:sz w:val="22"/>
                                    <w:szCs w:val="22"/>
                                  </w:rPr>
                                  <w:t>nearly 2 million students</w:t>
                                </w:r>
                              </w:hyperlink>
                              <w:r w:rsidRPr="009D2771">
                                <w:rPr>
                                  <w:sz w:val="22"/>
                                  <w:szCs w:val="22"/>
                                </w:rPr>
                                <w:t xml:space="preserve"> who are eligible for the Supplemental Nutrition Assistance Program (SNAP) do not participate,</w:t>
                              </w:r>
                              <w:r w:rsidR="0088373F">
                                <w:rPr>
                                  <w:sz w:val="22"/>
                                  <w:szCs w:val="22"/>
                                </w:rPr>
                                <w:t xml:space="preserve"> </w:t>
                              </w:r>
                              <w:r w:rsidRPr="009D2771">
                                <w:rPr>
                                  <w:sz w:val="22"/>
                                  <w:szCs w:val="22"/>
                                </w:rPr>
                                <w:t>leaving about $3 billion</w:t>
                              </w:r>
                              <w:r w:rsidRPr="009D2771">
                                <w:rPr>
                                  <w:rStyle w:val="FootnoteReference"/>
                                  <w:sz w:val="22"/>
                                  <w:szCs w:val="22"/>
                                </w:rPr>
                                <w:footnoteRef/>
                              </w:r>
                              <w:r w:rsidRPr="009D2771">
                                <w:rPr>
                                  <w:sz w:val="22"/>
                                  <w:szCs w:val="22"/>
                                </w:rPr>
                                <w:t xml:space="preserve"> in benefits on the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ED8774F" id="Group 22" o:spid="_x0000_s1029" style="position:absolute;margin-left:.65pt;margin-top:7.6pt;width:263.05pt;height:110.2pt;z-index:251660289;mso-width-relative:margin" coordorigin="-15475" coordsize="33425,13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">
                <v:roundrect id="Rounded Rectangle 6" o:spid="_x0000_s1030" style="position:absolute;left:-15475;width:33425;height:13995;visibility:visible;mso-wrap-style:square;v-text-anchor:middle" arcsize="253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" fillcolor="#e2e8f0" strokecolor="#152e5f" strokeweight="1pt">
                  <v:stroke joinstyle="miter"/>
                </v:roundrect>
                <v:shape id="Text Box 10" o:spid="_x0000_s1031" type="#_x0000_t202" style="position:absolute;left:-13980;top:2901;width:30614;height:10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7D0D9596" w14:textId="67A2448A" w:rsidR="00942335" w:rsidRPr="009D2771" w:rsidRDefault="009F2E69" w:rsidP="00942335">
                        <w:pPr>
                          <w:jc w:val="center"/>
                          <w:rPr>
                            <w:rFonts w:ascii="Calibri" w:hAnsi="Calibri" w:cs="Calibri"/>
                            <w:color w:val="152E5F"/>
                            <w:sz w:val="22"/>
                            <w:szCs w:val="22"/>
                          </w:rPr>
                        </w:pPr>
                        <w:r w:rsidRPr="009D2771">
                          <w:rPr>
                            <w:sz w:val="22"/>
                            <w:szCs w:val="22"/>
                          </w:rPr>
                          <w:t>Annually,</w:t>
                        </w:r>
                        <w:r w:rsidRPr="009D2771">
                          <w:rPr>
                            <w:b/>
                            <w:bCs/>
                            <w:sz w:val="22"/>
                            <w:szCs w:val="22"/>
                          </w:rPr>
                          <w:t xml:space="preserve"> </w:t>
                        </w:r>
                        <w:hyperlink r:id="rId19" w:history="1">
                          <w:r w:rsidRPr="009D2771">
                            <w:rPr>
                              <w:rStyle w:val="Hyperlink"/>
                              <w:sz w:val="22"/>
                              <w:szCs w:val="22"/>
                            </w:rPr>
                            <w:t>nearly 2 million students</w:t>
                          </w:r>
                        </w:hyperlink>
                        <w:r w:rsidRPr="009D2771">
                          <w:rPr>
                            <w:sz w:val="22"/>
                            <w:szCs w:val="22"/>
                          </w:rPr>
                          <w:t xml:space="preserve"> who are eligible for the Supplemental Nutrition Assistance Program (SNAP) do not participate,</w:t>
                        </w:r>
                        <w:r w:rsidR="0088373F">
                          <w:rPr>
                            <w:sz w:val="22"/>
                            <w:szCs w:val="22"/>
                          </w:rPr>
                          <w:t xml:space="preserve"> </w:t>
                        </w:r>
                        <w:r w:rsidRPr="009D2771">
                          <w:rPr>
                            <w:sz w:val="22"/>
                            <w:szCs w:val="22"/>
                          </w:rPr>
                          <w:t>leaving about $3 billion</w:t>
                        </w:r>
                        <w:r w:rsidRPr="009D2771">
                          <w:rPr>
                            <w:rStyle w:val="FootnoteReference"/>
                            <w:sz w:val="22"/>
                            <w:szCs w:val="22"/>
                          </w:rPr>
                          <w:footnoteRef/>
                        </w:r>
                        <w:r w:rsidRPr="009D2771">
                          <w:rPr>
                            <w:sz w:val="22"/>
                            <w:szCs w:val="22"/>
                          </w:rPr>
                          <w:t xml:space="preserve"> in benefits on the table.</w:t>
                        </w:r>
                      </w:p>
                    </w:txbxContent>
                  </v:textbox>
                </v:shape>
              </v:group>
            </w:pict>
          </mc:Fallback>
        </mc:AlternateContent>
      </w:r>
    </w:p>
    <w:p w14:paraId="5FC04689" w14:textId="49D9AF77" w:rsidR="00354771" w:rsidRDefault="00354771" w:rsidP="00354771">
      <w:pPr>
        <w:rPr>
          <w:sz w:val="22"/>
          <w:szCs w:val="22"/>
        </w:rPr>
      </w:pPr>
      <w:r w:rsidRPr="00354771">
        <w:rPr>
          <w:sz w:val="22"/>
          <w:szCs w:val="22"/>
        </w:rPr>
        <w:t xml:space="preserve"> </w:t>
      </w:r>
    </w:p>
    <w:p w14:paraId="735C5261" w14:textId="578D17B5" w:rsidR="00624365" w:rsidRDefault="00A03527" w:rsidP="00354771">
      <w:pPr>
        <w:rPr>
          <w:sz w:val="22"/>
          <w:szCs w:val="22"/>
        </w:rPr>
      </w:pPr>
      <w:r>
        <w:rPr>
          <w:noProof/>
          <w:sz w:val="22"/>
          <w:szCs w:val="22"/>
        </w:rPr>
        <mc:AlternateContent>
          <mc:Choice Requires="wps">
            <w:drawing>
              <wp:anchor distT="0" distB="0" distL="114300" distR="114300" simplePos="0" relativeHeight="251663361" behindDoc="0" locked="0" layoutInCell="1" allowOverlap="1" wp14:anchorId="429377EE" wp14:editId="06E7F326">
                <wp:simplePos x="0" y="0"/>
                <wp:positionH relativeFrom="column">
                  <wp:posOffset>5925772</wp:posOffset>
                </wp:positionH>
                <wp:positionV relativeFrom="paragraph">
                  <wp:posOffset>106631</wp:posOffset>
                </wp:positionV>
                <wp:extent cx="701968" cy="253365"/>
                <wp:effectExtent l="0" t="0" r="0" b="0"/>
                <wp:wrapNone/>
                <wp:docPr id="8" name="Rectangle 8">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701968" cy="253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298198" id="Rectangle 8" o:spid="_x0000_s1026" href="https://www.usac.org/about/affordable-connectivity-program/acp-enrollment-and-claims-tracker/additional-acp-data/" style="position:absolute;margin-left:466.6pt;margin-top:8.4pt;width:55.25pt;height:19.95pt;z-index:251663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" o:button="t" filled="f" stroked="f" strokeweight="1pt">
                <v:fill o:detectmouseclick="t"/>
              </v:rect>
            </w:pict>
          </mc:Fallback>
        </mc:AlternateContent>
      </w:r>
      <w:r w:rsidR="00E0596F">
        <w:rPr>
          <w:noProof/>
          <w:sz w:val="22"/>
          <w:szCs w:val="22"/>
        </w:rPr>
        <mc:AlternateContent>
          <mc:Choice Requires="wps">
            <w:drawing>
              <wp:anchor distT="0" distB="0" distL="114300" distR="114300" simplePos="0" relativeHeight="251667457" behindDoc="0" locked="0" layoutInCell="1" allowOverlap="1" wp14:anchorId="273504C8" wp14:editId="4EE38D96">
                <wp:simplePos x="0" y="0"/>
                <wp:positionH relativeFrom="column">
                  <wp:posOffset>946087</wp:posOffset>
                </wp:positionH>
                <wp:positionV relativeFrom="paragraph">
                  <wp:posOffset>49588</wp:posOffset>
                </wp:positionV>
                <wp:extent cx="1520982" cy="289276"/>
                <wp:effectExtent l="0" t="0" r="0" b="0"/>
                <wp:wrapNone/>
                <wp:docPr id="14" name="Rectangle 14">
                  <a:hlinkClick xmlns:a="http://schemas.openxmlformats.org/drawingml/2006/main" r:id="rId19"/>
                </wp:docPr>
                <wp:cNvGraphicFramePr/>
                <a:graphic xmlns:a="http://schemas.openxmlformats.org/drawingml/2006/main">
                  <a:graphicData uri="http://schemas.microsoft.com/office/word/2010/wordprocessingShape">
                    <wps:wsp>
                      <wps:cNvSpPr/>
                      <wps:spPr>
                        <a:xfrm>
                          <a:off x="0" y="0"/>
                          <a:ext cx="1520982" cy="2892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6B9D1" id="Rectangle 14" o:spid="_x0000_s1026" href="https://www.gao.gov/products/gao-19-95" style="position:absolute;margin-left:74.5pt;margin-top:3.9pt;width:119.75pt;height:22.8pt;z-index:2516674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" o:button="t" filled="f" stroked="f" strokeweight="1pt">
                <v:fill o:detectmouseclick="t"/>
              </v:rect>
            </w:pict>
          </mc:Fallback>
        </mc:AlternateContent>
      </w:r>
    </w:p>
    <w:p w14:paraId="37352099" w14:textId="5AD37017" w:rsidR="00942335" w:rsidRDefault="00A03527" w:rsidP="00354771">
      <w:pPr>
        <w:rPr>
          <w:sz w:val="22"/>
          <w:szCs w:val="22"/>
        </w:rPr>
      </w:pPr>
      <w:r>
        <w:rPr>
          <w:noProof/>
          <w:sz w:val="22"/>
          <w:szCs w:val="22"/>
        </w:rPr>
        <mc:AlternateContent>
          <mc:Choice Requires="wps">
            <w:drawing>
              <wp:anchor distT="0" distB="0" distL="114300" distR="114300" simplePos="0" relativeHeight="251671553" behindDoc="0" locked="0" layoutInCell="1" allowOverlap="1" wp14:anchorId="730D8FE1" wp14:editId="339C1990">
                <wp:simplePos x="0" y="0"/>
                <wp:positionH relativeFrom="column">
                  <wp:posOffset>3745523</wp:posOffset>
                </wp:positionH>
                <wp:positionV relativeFrom="paragraph">
                  <wp:posOffset>102088</wp:posOffset>
                </wp:positionV>
                <wp:extent cx="1310054" cy="253365"/>
                <wp:effectExtent l="0" t="0" r="0" b="0"/>
                <wp:wrapNone/>
                <wp:docPr id="17" name="Rectangle 17">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1310054" cy="253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2941F4" id="Rectangle 17" o:spid="_x0000_s1026" href="https://www.usac.org/about/affordable-connectivity-program/acp-enrollment-and-claims-tracker/additional-acp-data/" style="position:absolute;margin-left:294.9pt;margin-top:8.05pt;width:103.15pt;height:19.95pt;z-index:2516715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" o:button="t" filled="f" stroked="f" strokeweight="1pt">
                <v:fill o:detectmouseclick="t"/>
              </v:rect>
            </w:pict>
          </mc:Fallback>
        </mc:AlternateContent>
      </w:r>
      <w:r w:rsidR="00E0596F">
        <w:rPr>
          <w:noProof/>
          <w:sz w:val="22"/>
          <w:szCs w:val="22"/>
        </w:rPr>
        <mc:AlternateContent>
          <mc:Choice Requires="wps">
            <w:drawing>
              <wp:anchor distT="0" distB="0" distL="114300" distR="114300" simplePos="0" relativeHeight="251665409" behindDoc="0" locked="0" layoutInCell="1" allowOverlap="1" wp14:anchorId="60F65200" wp14:editId="04D1903D">
                <wp:simplePos x="0" y="0"/>
                <wp:positionH relativeFrom="column">
                  <wp:posOffset>3644020</wp:posOffset>
                </wp:positionH>
                <wp:positionV relativeFrom="paragraph">
                  <wp:posOffset>168684</wp:posOffset>
                </wp:positionV>
                <wp:extent cx="624689" cy="253497"/>
                <wp:effectExtent l="0" t="0" r="0" b="0"/>
                <wp:wrapNone/>
                <wp:docPr id="9" name="Rectangle 9">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624689" cy="2534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6E4C40" id="Rectangle 9" o:spid="_x0000_s1026" href="https://www.usac.org/about/affordable-connectivity-program/acp-enrollment-and-claims-tracker/additional-acp-data/" style="position:absolute;margin-left:286.95pt;margin-top:13.3pt;width:49.2pt;height:19.95pt;z-index:2516654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" o:button="t" filled="f" stroked="f" strokeweight="1pt">
                <v:fill o:detectmouseclick="t"/>
              </v:rect>
            </w:pict>
          </mc:Fallback>
        </mc:AlternateContent>
      </w:r>
    </w:p>
    <w:p w14:paraId="342B17E1" w14:textId="4273E07F" w:rsidR="00942335" w:rsidRDefault="00942335" w:rsidP="00354771">
      <w:pPr>
        <w:rPr>
          <w:sz w:val="22"/>
          <w:szCs w:val="22"/>
        </w:rPr>
      </w:pPr>
    </w:p>
    <w:p w14:paraId="50951BC5" w14:textId="7EDE139C" w:rsidR="00942335" w:rsidRDefault="00E0596F" w:rsidP="00354771">
      <w:pPr>
        <w:rPr>
          <w:sz w:val="22"/>
          <w:szCs w:val="22"/>
        </w:rPr>
      </w:pPr>
      <w:r>
        <w:rPr>
          <w:noProof/>
          <w:sz w:val="22"/>
          <w:szCs w:val="22"/>
        </w:rPr>
        <mc:AlternateContent>
          <mc:Choice Requires="wps">
            <w:drawing>
              <wp:anchor distT="0" distB="0" distL="114300" distR="114300" simplePos="0" relativeHeight="251666433" behindDoc="0" locked="0" layoutInCell="1" allowOverlap="1" wp14:anchorId="32E0B377" wp14:editId="1C48D6BB">
                <wp:simplePos x="0" y="0"/>
                <wp:positionH relativeFrom="column">
                  <wp:posOffset>4009292</wp:posOffset>
                </wp:positionH>
                <wp:positionV relativeFrom="paragraph">
                  <wp:posOffset>16070</wp:posOffset>
                </wp:positionV>
                <wp:extent cx="2373923" cy="474785"/>
                <wp:effectExtent l="0" t="0" r="0" b="0"/>
                <wp:wrapNone/>
                <wp:docPr id="12" name="Rectangle 12">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2373923" cy="4747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6CB08" id="Rectangle 12" o:spid="_x0000_s1026" href="https://www.usac.org/about/affordable-connectivity-program/acp-enrollment-and-claims-tracker/additional-acp-data/" style="position:absolute;margin-left:315.7pt;margin-top:1.25pt;width:186.9pt;height:37.4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" o:button="t" filled="f" stroked="f" strokeweight="1pt">
                <v:fill o:detectmouseclick="t"/>
              </v:rect>
            </w:pict>
          </mc:Fallback>
        </mc:AlternateContent>
      </w:r>
    </w:p>
    <w:p w14:paraId="41B627CD" w14:textId="29BA0CB5" w:rsidR="00942335" w:rsidRDefault="00942335" w:rsidP="00354771">
      <w:pPr>
        <w:rPr>
          <w:sz w:val="22"/>
          <w:szCs w:val="22"/>
        </w:rPr>
      </w:pPr>
    </w:p>
    <w:p w14:paraId="1B01536A" w14:textId="5E3A550F" w:rsidR="00942335" w:rsidRDefault="00942335" w:rsidP="00354771">
      <w:pPr>
        <w:rPr>
          <w:sz w:val="22"/>
          <w:szCs w:val="22"/>
        </w:rPr>
      </w:pPr>
    </w:p>
    <w:p w14:paraId="4DE162C5" w14:textId="77777777" w:rsidR="00942335" w:rsidRDefault="00942335" w:rsidP="00354771">
      <w:pPr>
        <w:rPr>
          <w:sz w:val="22"/>
          <w:szCs w:val="22"/>
        </w:rPr>
      </w:pPr>
    </w:p>
    <w:p w14:paraId="6E5EE449" w14:textId="77777777" w:rsidR="00354771" w:rsidRPr="00354771" w:rsidRDefault="00354771" w:rsidP="00354771">
      <w:pPr>
        <w:rPr>
          <w:sz w:val="22"/>
          <w:szCs w:val="22"/>
        </w:rPr>
      </w:pPr>
    </w:p>
    <w:p w14:paraId="4968C1A6" w14:textId="6DBA9EBE" w:rsidR="00354771" w:rsidRPr="00354771" w:rsidRDefault="00354771" w:rsidP="00764D85">
      <w:pPr>
        <w:rPr>
          <w:sz w:val="22"/>
          <w:szCs w:val="22"/>
        </w:rPr>
      </w:pPr>
      <w:r w:rsidRPr="00354771">
        <w:rPr>
          <w:sz w:val="22"/>
          <w:szCs w:val="22"/>
        </w:rPr>
        <w:t xml:space="preserve">Streamlining student access to public benefits is </w:t>
      </w:r>
      <w:r w:rsidRPr="00354771">
        <w:rPr>
          <w:b/>
          <w:bCs/>
          <w:sz w:val="22"/>
          <w:szCs w:val="22"/>
        </w:rPr>
        <w:t>a critical equity strategy</w:t>
      </w:r>
      <w:r w:rsidRPr="00354771">
        <w:rPr>
          <w:sz w:val="22"/>
          <w:szCs w:val="22"/>
        </w:rPr>
        <w:t xml:space="preserve"> for </w:t>
      </w:r>
      <w:r w:rsidR="000872AD">
        <w:rPr>
          <w:rStyle w:val="normaltextrun"/>
          <w:rFonts w:ascii="Calibri" w:hAnsi="Calibri" w:cs="Calibri"/>
          <w:color w:val="000000"/>
          <w:sz w:val="22"/>
          <w:szCs w:val="22"/>
          <w:bdr w:val="none" w:sz="0" w:space="0" w:color="auto" w:frame="1"/>
        </w:rPr>
        <w:t>colleges and universities</w:t>
      </w:r>
      <w:r w:rsidRPr="00354771">
        <w:rPr>
          <w:sz w:val="22"/>
          <w:szCs w:val="22"/>
        </w:rPr>
        <w:t>.</w:t>
      </w:r>
      <w:r w:rsidRPr="00354771">
        <w:rPr>
          <w:sz w:val="22"/>
          <w:szCs w:val="22"/>
        </w:rPr>
        <w:t xml:space="preserve"> Public benefit programs can help students pay for non-tuition </w:t>
      </w:r>
      <w:proofErr w:type="gramStart"/>
      <w:r w:rsidRPr="00354771">
        <w:rPr>
          <w:sz w:val="22"/>
          <w:szCs w:val="22"/>
        </w:rPr>
        <w:t>costs, yet</w:t>
      </w:r>
      <w:proofErr w:type="gramEnd"/>
      <w:r w:rsidRPr="00354771">
        <w:rPr>
          <w:sz w:val="22"/>
          <w:szCs w:val="22"/>
        </w:rPr>
        <w:t xml:space="preserve"> understanding eligibility requirements and completing application processes can be complex to navigate. Colleges and universities that want to help students access these resources often do not know who is eligible and how to best assist them. This toolkit aims to help colleges and universities connect students to benefits, work that is a </w:t>
      </w:r>
      <w:r w:rsidRPr="00354771">
        <w:rPr>
          <w:b/>
          <w:bCs/>
          <w:sz w:val="22"/>
          <w:szCs w:val="22"/>
        </w:rPr>
        <w:t>systemic and sustainable complement</w:t>
      </w:r>
      <w:r w:rsidRPr="00354771">
        <w:rPr>
          <w:sz w:val="22"/>
          <w:szCs w:val="22"/>
        </w:rPr>
        <w:t xml:space="preserve"> to efforts many institutions already engage in</w:t>
      </w:r>
      <w:r w:rsidRPr="00354771" w:rsidDel="001043B4">
        <w:rPr>
          <w:sz w:val="22"/>
          <w:szCs w:val="22"/>
        </w:rPr>
        <w:t xml:space="preserve"> </w:t>
      </w:r>
      <w:r w:rsidRPr="00354771">
        <w:rPr>
          <w:sz w:val="22"/>
          <w:szCs w:val="22"/>
        </w:rPr>
        <w:t>to support students’ basic needs security</w:t>
      </w:r>
      <w:r w:rsidRPr="00E0596F">
        <w:rPr>
          <w:sz w:val="22"/>
          <w:szCs w:val="22"/>
        </w:rPr>
        <w:t xml:space="preserve">. </w:t>
      </w:r>
    </w:p>
    <w:p w14:paraId="52D9E455" w14:textId="77777777" w:rsidR="00354771" w:rsidRPr="00354771" w:rsidRDefault="00354771" w:rsidP="00764D85">
      <w:pPr>
        <w:rPr>
          <w:sz w:val="22"/>
          <w:szCs w:val="22"/>
        </w:rPr>
      </w:pPr>
    </w:p>
    <w:p w14:paraId="5CF4A039" w14:textId="18A36EF3" w:rsidR="0045749F" w:rsidRDefault="00354771" w:rsidP="00764D85">
      <w:pPr>
        <w:rPr>
          <w:sz w:val="22"/>
          <w:szCs w:val="22"/>
        </w:rPr>
      </w:pPr>
      <w:r w:rsidRPr="00354771">
        <w:rPr>
          <w:sz w:val="22"/>
          <w:szCs w:val="22"/>
        </w:rPr>
        <w:t>This toolkit serves as a</w:t>
      </w:r>
      <w:r w:rsidRPr="00354771">
        <w:rPr>
          <w:b/>
          <w:bCs/>
          <w:sz w:val="22"/>
          <w:szCs w:val="22"/>
        </w:rPr>
        <w:t xml:space="preserve"> practical resource</w:t>
      </w:r>
      <w:r w:rsidRPr="00354771">
        <w:rPr>
          <w:sz w:val="22"/>
          <w:szCs w:val="22"/>
        </w:rPr>
        <w:t xml:space="preserve"> to help colleges and universities </w:t>
      </w:r>
      <w:r w:rsidRPr="00354771">
        <w:rPr>
          <w:b/>
          <w:bCs/>
          <w:sz w:val="22"/>
          <w:szCs w:val="22"/>
        </w:rPr>
        <w:t>leverage available data</w:t>
      </w:r>
      <w:r w:rsidRPr="00354771">
        <w:rPr>
          <w:sz w:val="22"/>
          <w:szCs w:val="22"/>
        </w:rPr>
        <w:t xml:space="preserve"> to compile lists of likely eligible students for </w:t>
      </w:r>
      <w:r w:rsidRPr="00354771">
        <w:rPr>
          <w:b/>
          <w:bCs/>
          <w:sz w:val="22"/>
          <w:szCs w:val="22"/>
        </w:rPr>
        <w:t>SNAP</w:t>
      </w:r>
      <w:r w:rsidR="0088373F">
        <w:rPr>
          <w:b/>
          <w:bCs/>
          <w:sz w:val="22"/>
          <w:szCs w:val="22"/>
        </w:rPr>
        <w:t>;</w:t>
      </w:r>
      <w:r w:rsidRPr="00354771">
        <w:rPr>
          <w:b/>
          <w:bCs/>
          <w:sz w:val="22"/>
          <w:szCs w:val="22"/>
        </w:rPr>
        <w:t xml:space="preserve"> the ACP</w:t>
      </w:r>
      <w:r w:rsidR="0088373F">
        <w:rPr>
          <w:b/>
          <w:bCs/>
          <w:sz w:val="22"/>
          <w:szCs w:val="22"/>
        </w:rPr>
        <w:t>;</w:t>
      </w:r>
      <w:r w:rsidRPr="00354771">
        <w:rPr>
          <w:b/>
          <w:bCs/>
          <w:sz w:val="22"/>
          <w:szCs w:val="22"/>
        </w:rPr>
        <w:t xml:space="preserve"> Medicaid</w:t>
      </w:r>
      <w:r w:rsidR="0088373F">
        <w:rPr>
          <w:b/>
          <w:bCs/>
          <w:sz w:val="22"/>
          <w:szCs w:val="22"/>
        </w:rPr>
        <w:t>;</w:t>
      </w:r>
      <w:r w:rsidRPr="00354771">
        <w:rPr>
          <w:b/>
          <w:bCs/>
          <w:sz w:val="22"/>
          <w:szCs w:val="22"/>
        </w:rPr>
        <w:t xml:space="preserve"> the Special Supplemental Nutrition Program for Women, Infants and Children (WIC)</w:t>
      </w:r>
      <w:r w:rsidR="0088373F">
        <w:rPr>
          <w:b/>
          <w:bCs/>
          <w:sz w:val="22"/>
          <w:szCs w:val="22"/>
        </w:rPr>
        <w:t>;</w:t>
      </w:r>
      <w:r w:rsidRPr="00354771">
        <w:rPr>
          <w:b/>
          <w:bCs/>
          <w:sz w:val="22"/>
          <w:szCs w:val="22"/>
        </w:rPr>
        <w:t xml:space="preserve"> and the Child Tax Credit.</w:t>
      </w:r>
      <w:r w:rsidRPr="00354771" w:rsidDel="003A4C6B">
        <w:rPr>
          <w:b/>
          <w:sz w:val="22"/>
          <w:szCs w:val="22"/>
        </w:rPr>
        <w:t xml:space="preserve"> </w:t>
      </w:r>
      <w:r w:rsidRPr="00354771">
        <w:rPr>
          <w:sz w:val="22"/>
          <w:szCs w:val="22"/>
        </w:rPr>
        <w:t xml:space="preserve">The toolkit focuses on identifying full or part-time undergraduate students who may be eligible for benefits, though other student populations may qualify as well. </w:t>
      </w:r>
    </w:p>
    <w:p w14:paraId="17357D6A" w14:textId="77777777" w:rsidR="0045749F" w:rsidRDefault="0045749F" w:rsidP="00354771">
      <w:pPr>
        <w:rPr>
          <w:sz w:val="22"/>
          <w:szCs w:val="22"/>
        </w:rPr>
      </w:pPr>
    </w:p>
    <w:tbl>
      <w:tblPr>
        <w:tblStyle w:val="TableGrid"/>
        <w:tblW w:w="10970" w:type="dxa"/>
        <w:tblInd w:w="-90" w:type="dxa"/>
        <w:tblLayout w:type="fixed"/>
        <w:tblLook w:val="04A0" w:firstRow="1" w:lastRow="0" w:firstColumn="1" w:lastColumn="0" w:noHBand="0" w:noVBand="1"/>
      </w:tblPr>
      <w:tblGrid>
        <w:gridCol w:w="900"/>
        <w:gridCol w:w="10070"/>
      </w:tblGrid>
      <w:tr w:rsidR="00D73ACA" w14:paraId="314ACBA2" w14:textId="77777777" w:rsidTr="0005775D">
        <w:trPr>
          <w:trHeight w:val="846"/>
        </w:trPr>
        <w:tc>
          <w:tcPr>
            <w:tcW w:w="900" w:type="dxa"/>
            <w:tcBorders>
              <w:top w:val="nil"/>
              <w:left w:val="nil"/>
              <w:bottom w:val="nil"/>
              <w:right w:val="nil"/>
            </w:tcBorders>
          </w:tcPr>
          <w:p w14:paraId="2C6C716D" w14:textId="6B4E8FD5" w:rsidR="00D73ACA" w:rsidRDefault="00137491" w:rsidP="00D739D7">
            <w:pPr>
              <w:spacing w:line="320" w:lineRule="auto"/>
              <w:ind w:right="540"/>
              <w:rPr>
                <w:sz w:val="32"/>
                <w:szCs w:val="32"/>
              </w:rPr>
            </w:pPr>
            <w:r>
              <w:rPr>
                <w:noProof/>
              </w:rPr>
              <w:drawing>
                <wp:inline distT="0" distB="0" distL="0" distR="0" wp14:anchorId="3FF0BCA4" wp14:editId="3C728A09">
                  <wp:extent cx="481263" cy="481263"/>
                  <wp:effectExtent l="0" t="0" r="1905" b="190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8965" cy="498965"/>
                          </a:xfrm>
                          <a:prstGeom prst="rect">
                            <a:avLst/>
                          </a:prstGeom>
                        </pic:spPr>
                      </pic:pic>
                    </a:graphicData>
                  </a:graphic>
                </wp:inline>
              </w:drawing>
            </w:r>
          </w:p>
        </w:tc>
        <w:tc>
          <w:tcPr>
            <w:tcW w:w="10070" w:type="dxa"/>
            <w:tcBorders>
              <w:top w:val="nil"/>
              <w:left w:val="nil"/>
              <w:bottom w:val="nil"/>
              <w:right w:val="nil"/>
            </w:tcBorders>
            <w:vAlign w:val="center"/>
          </w:tcPr>
          <w:p w14:paraId="26F5AF39" w14:textId="77777777" w:rsidR="00D73ACA" w:rsidRPr="00D73ACA" w:rsidRDefault="00D73ACA" w:rsidP="00D739D7">
            <w:pPr>
              <w:ind w:right="540"/>
              <w:rPr>
                <w:b/>
                <w:bCs/>
                <w:color w:val="3399E1"/>
                <w:sz w:val="16"/>
                <w:szCs w:val="16"/>
              </w:rPr>
            </w:pPr>
          </w:p>
          <w:p w14:paraId="6A9A7861" w14:textId="4F7D3A8D" w:rsidR="00D73ACA" w:rsidRPr="00D73ACA" w:rsidRDefault="00D73ACA" w:rsidP="00D739D7">
            <w:pPr>
              <w:ind w:right="540"/>
              <w:rPr>
                <w:b/>
                <w:bCs/>
                <w:color w:val="3399E1"/>
                <w:sz w:val="32"/>
                <w:szCs w:val="32"/>
              </w:rPr>
            </w:pPr>
            <w:r w:rsidRPr="00D73ACA">
              <w:rPr>
                <w:b/>
                <w:bCs/>
                <w:color w:val="3399E1"/>
                <w:sz w:val="32"/>
                <w:szCs w:val="32"/>
              </w:rPr>
              <w:t>Why Data</w:t>
            </w:r>
            <w:r w:rsidR="00E346E5">
              <w:rPr>
                <w:b/>
                <w:bCs/>
                <w:color w:val="3399E1"/>
                <w:sz w:val="32"/>
                <w:szCs w:val="32"/>
              </w:rPr>
              <w:t xml:space="preserve"> </w:t>
            </w:r>
            <w:r w:rsidR="00637A3B">
              <w:rPr>
                <w:b/>
                <w:bCs/>
                <w:color w:val="3399E1"/>
                <w:sz w:val="32"/>
                <w:szCs w:val="32"/>
              </w:rPr>
              <w:t>D</w:t>
            </w:r>
            <w:r w:rsidRPr="00D73ACA">
              <w:rPr>
                <w:b/>
                <w:bCs/>
                <w:color w:val="3399E1"/>
                <w:sz w:val="32"/>
                <w:szCs w:val="32"/>
              </w:rPr>
              <w:t>riven Outreach</w:t>
            </w:r>
            <w:r w:rsidR="0088373F">
              <w:rPr>
                <w:b/>
                <w:bCs/>
                <w:color w:val="3399E1"/>
                <w:sz w:val="32"/>
                <w:szCs w:val="32"/>
              </w:rPr>
              <w:t>?</w:t>
            </w:r>
          </w:p>
          <w:p w14:paraId="0A068937" w14:textId="77777777" w:rsidR="00D73ACA" w:rsidRPr="0060097B" w:rsidRDefault="00D73ACA" w:rsidP="00D739D7">
            <w:pPr>
              <w:spacing w:before="240"/>
              <w:ind w:right="540"/>
              <w:rPr>
                <w:rFonts w:ascii="Calibri" w:hAnsi="Calibri" w:cs="Calibri"/>
                <w:sz w:val="22"/>
                <w:szCs w:val="22"/>
              </w:rPr>
            </w:pPr>
            <w:r w:rsidRPr="0060097B">
              <w:rPr>
                <w:rFonts w:ascii="Calibri" w:hAnsi="Calibri" w:cs="Calibri"/>
                <w:sz w:val="22"/>
                <w:szCs w:val="22"/>
              </w:rPr>
              <w:t>Delivering personalized, timely, and actionable information from a trusted source, as opposed to broad-based awareness campaigns, is a best practice to meet students where they are and motivate them to act. Using data to tailor outreach lists allows institutions to direct specific messages to relevant student populations. This approach increases the efficiency and efficacy of outreach efforts.</w:t>
            </w:r>
          </w:p>
          <w:p w14:paraId="37CAB974" w14:textId="77777777" w:rsidR="00D73ACA" w:rsidRPr="0060097B" w:rsidRDefault="00D73ACA" w:rsidP="00D739D7">
            <w:pPr>
              <w:ind w:right="540"/>
              <w:rPr>
                <w:rFonts w:ascii="Calibri" w:hAnsi="Calibri" w:cs="Calibri"/>
                <w:sz w:val="22"/>
                <w:szCs w:val="22"/>
              </w:rPr>
            </w:pPr>
          </w:p>
          <w:p w14:paraId="77397300" w14:textId="19D86B6A" w:rsidR="00D73ACA" w:rsidRPr="0060097B" w:rsidRDefault="00D73ACA" w:rsidP="00D739D7">
            <w:pPr>
              <w:ind w:right="540"/>
              <w:rPr>
                <w:rFonts w:ascii="Calibri" w:hAnsi="Calibri" w:cs="Calibri"/>
                <w:sz w:val="22"/>
                <w:szCs w:val="22"/>
              </w:rPr>
            </w:pPr>
            <w:r w:rsidRPr="0060097B">
              <w:rPr>
                <w:rFonts w:ascii="Calibri" w:hAnsi="Calibri" w:cs="Calibri"/>
                <w:sz w:val="22"/>
                <w:szCs w:val="22"/>
              </w:rPr>
              <w:t>Benefits Data Trust regularly employs the use of data-driven outreach to connect with and prompt action by likely eligible people, which research has consistently found highly effective.</w:t>
            </w:r>
            <w:r w:rsidR="003B02FC">
              <w:rPr>
                <w:rStyle w:val="FootnoteReference"/>
                <w:rFonts w:ascii="Calibri" w:hAnsi="Calibri" w:cs="Calibri"/>
                <w:sz w:val="22"/>
                <w:szCs w:val="22"/>
              </w:rPr>
              <w:footnoteReference w:id="3"/>
            </w:r>
            <w:r w:rsidRPr="0060097B">
              <w:rPr>
                <w:rFonts w:ascii="Calibri" w:hAnsi="Calibri" w:cs="Calibri"/>
                <w:sz w:val="22"/>
                <w:szCs w:val="22"/>
              </w:rPr>
              <w:t xml:space="preserve"> For example, in 2021, Benefits Data Trust tested outreach to individuals who were ineligible for or had exhausted their </w:t>
            </w:r>
            <w:r w:rsidRPr="0060097B">
              <w:rPr>
                <w:rFonts w:ascii="Calibri" w:hAnsi="Calibri" w:cs="Calibri"/>
                <w:sz w:val="22"/>
                <w:szCs w:val="22"/>
              </w:rPr>
              <w:lastRenderedPageBreak/>
              <w:t>unemployment benefits to assist them in applying for SNAP and found that outreach recipients enrolled in SNAP at significantly higher rates than people who did not receive outreach.</w:t>
            </w:r>
          </w:p>
          <w:p w14:paraId="71FDBB5C" w14:textId="77777777" w:rsidR="00D73ACA" w:rsidRPr="0060097B" w:rsidRDefault="00D73ACA" w:rsidP="00D739D7">
            <w:pPr>
              <w:ind w:right="540"/>
              <w:rPr>
                <w:rFonts w:ascii="Calibri" w:hAnsi="Calibri" w:cs="Calibri"/>
                <w:sz w:val="22"/>
                <w:szCs w:val="22"/>
              </w:rPr>
            </w:pPr>
          </w:p>
          <w:p w14:paraId="2E09BC13" w14:textId="77777777" w:rsidR="00D73ACA" w:rsidRPr="0060097B" w:rsidRDefault="00D73ACA" w:rsidP="00D739D7">
            <w:pPr>
              <w:ind w:right="540"/>
              <w:rPr>
                <w:rFonts w:ascii="Calibri" w:hAnsi="Calibri" w:cs="Calibri"/>
                <w:sz w:val="22"/>
                <w:szCs w:val="22"/>
              </w:rPr>
            </w:pPr>
            <w:r w:rsidRPr="0060097B">
              <w:rPr>
                <w:rFonts w:ascii="Calibri" w:hAnsi="Calibri" w:cs="Calibri"/>
                <w:sz w:val="22"/>
                <w:szCs w:val="22"/>
              </w:rPr>
              <w:t>Data-driven outreach campaigns allow for:</w:t>
            </w:r>
          </w:p>
          <w:p w14:paraId="4680DDEC" w14:textId="77777777" w:rsidR="00D73ACA" w:rsidRPr="0060097B" w:rsidRDefault="00D73ACA" w:rsidP="00511FE9">
            <w:pPr>
              <w:pStyle w:val="ListParagraph"/>
              <w:numPr>
                <w:ilvl w:val="0"/>
                <w:numId w:val="3"/>
              </w:numPr>
              <w:spacing w:after="0" w:line="240" w:lineRule="auto"/>
              <w:ind w:left="436" w:right="540" w:hanging="270"/>
              <w:rPr>
                <w:rFonts w:ascii="Calibri" w:hAnsi="Calibri" w:cs="Calibri"/>
              </w:rPr>
            </w:pPr>
            <w:r w:rsidRPr="0060097B">
              <w:rPr>
                <w:rFonts w:ascii="Calibri" w:hAnsi="Calibri" w:cs="Calibri"/>
              </w:rPr>
              <w:t xml:space="preserve">Customizing messages that are personalized and relevant to a specific student </w:t>
            </w:r>
            <w:proofErr w:type="gramStart"/>
            <w:r w:rsidRPr="0060097B">
              <w:rPr>
                <w:rFonts w:ascii="Calibri" w:hAnsi="Calibri" w:cs="Calibri"/>
              </w:rPr>
              <w:t>population’s needs</w:t>
            </w:r>
            <w:proofErr w:type="gramEnd"/>
            <w:r w:rsidRPr="0060097B">
              <w:rPr>
                <w:rFonts w:ascii="Calibri" w:hAnsi="Calibri" w:cs="Calibri"/>
              </w:rPr>
              <w:t xml:space="preserve"> </w:t>
            </w:r>
          </w:p>
          <w:p w14:paraId="58CE8957" w14:textId="77777777" w:rsidR="00D73ACA" w:rsidRPr="0060097B" w:rsidRDefault="00D73ACA" w:rsidP="00511FE9">
            <w:pPr>
              <w:pStyle w:val="ListParagraph"/>
              <w:numPr>
                <w:ilvl w:val="0"/>
                <w:numId w:val="3"/>
              </w:numPr>
              <w:spacing w:after="0" w:line="240" w:lineRule="auto"/>
              <w:ind w:left="436" w:right="540" w:hanging="270"/>
              <w:rPr>
                <w:rFonts w:ascii="Calibri" w:hAnsi="Calibri" w:cs="Calibri"/>
              </w:rPr>
            </w:pPr>
            <w:r w:rsidRPr="0060097B">
              <w:rPr>
                <w:rFonts w:ascii="Calibri" w:hAnsi="Calibri" w:cs="Calibri"/>
              </w:rPr>
              <w:t>Coordinating outreach schedules based on time-sensitive deadlines and expected capacity for student support</w:t>
            </w:r>
          </w:p>
          <w:p w14:paraId="0677A9F2" w14:textId="77777777" w:rsidR="00D73ACA" w:rsidRPr="0060097B" w:rsidRDefault="00D73ACA" w:rsidP="00511FE9">
            <w:pPr>
              <w:pStyle w:val="ListParagraph"/>
              <w:numPr>
                <w:ilvl w:val="0"/>
                <w:numId w:val="3"/>
              </w:numPr>
              <w:spacing w:after="0" w:line="240" w:lineRule="auto"/>
              <w:ind w:left="436" w:right="540" w:hanging="270"/>
              <w:rPr>
                <w:rFonts w:ascii="Calibri" w:hAnsi="Calibri" w:cs="Calibri"/>
              </w:rPr>
            </w:pPr>
            <w:r w:rsidRPr="0060097B">
              <w:rPr>
                <w:rFonts w:ascii="Calibri" w:hAnsi="Calibri" w:cs="Calibri"/>
              </w:rPr>
              <w:t xml:space="preserve">Increased awareness among students of benefits they may be eligible for </w:t>
            </w:r>
          </w:p>
          <w:p w14:paraId="06B6E3B8" w14:textId="2B418915" w:rsidR="00D73ACA" w:rsidRPr="00D739D7" w:rsidRDefault="00D73ACA" w:rsidP="00511FE9">
            <w:pPr>
              <w:pStyle w:val="ListParagraph"/>
              <w:numPr>
                <w:ilvl w:val="0"/>
                <w:numId w:val="3"/>
              </w:numPr>
              <w:spacing w:after="0" w:line="240" w:lineRule="auto"/>
              <w:ind w:left="436" w:right="540" w:hanging="270"/>
              <w:rPr>
                <w:rFonts w:ascii="Calibri" w:hAnsi="Calibri" w:cs="Calibri"/>
              </w:rPr>
            </w:pPr>
            <w:r w:rsidRPr="0060097B">
              <w:rPr>
                <w:rFonts w:ascii="Calibri" w:hAnsi="Calibri" w:cs="Calibri"/>
              </w:rPr>
              <w:t xml:space="preserve">Higher likelihood of engagement with benefits applications </w:t>
            </w:r>
          </w:p>
        </w:tc>
      </w:tr>
    </w:tbl>
    <w:p w14:paraId="1C054E0F" w14:textId="77777777" w:rsidR="00D73ACA" w:rsidRDefault="00D73ACA" w:rsidP="00D739D7">
      <w:pPr>
        <w:ind w:right="540"/>
        <w:rPr>
          <w:rFonts w:ascii="Calibri" w:hAnsi="Calibri" w:cs="Calibri"/>
          <w:b/>
          <w:bCs/>
          <w:sz w:val="22"/>
          <w:szCs w:val="22"/>
        </w:rPr>
      </w:pPr>
    </w:p>
    <w:tbl>
      <w:tblPr>
        <w:tblStyle w:val="TableGrid"/>
        <w:tblW w:w="10970" w:type="dxa"/>
        <w:tblInd w:w="-90" w:type="dxa"/>
        <w:tblLayout w:type="fixed"/>
        <w:tblLook w:val="04A0" w:firstRow="1" w:lastRow="0" w:firstColumn="1" w:lastColumn="0" w:noHBand="0" w:noVBand="1"/>
      </w:tblPr>
      <w:tblGrid>
        <w:gridCol w:w="900"/>
        <w:gridCol w:w="10070"/>
      </w:tblGrid>
      <w:tr w:rsidR="00D73ACA" w14:paraId="66F62B4B" w14:textId="77777777" w:rsidTr="0005775D">
        <w:trPr>
          <w:trHeight w:val="846"/>
        </w:trPr>
        <w:tc>
          <w:tcPr>
            <w:tcW w:w="900" w:type="dxa"/>
            <w:tcBorders>
              <w:top w:val="nil"/>
              <w:left w:val="nil"/>
              <w:bottom w:val="nil"/>
              <w:right w:val="nil"/>
            </w:tcBorders>
          </w:tcPr>
          <w:p w14:paraId="12905D02" w14:textId="77777777" w:rsidR="00D73ACA" w:rsidRDefault="00D73ACA" w:rsidP="00D739D7">
            <w:pPr>
              <w:spacing w:line="320" w:lineRule="auto"/>
              <w:ind w:right="540"/>
              <w:rPr>
                <w:sz w:val="32"/>
                <w:szCs w:val="32"/>
              </w:rPr>
            </w:pPr>
            <w:r w:rsidRPr="002D2BF3">
              <w:rPr>
                <w:noProof/>
                <w:sz w:val="32"/>
                <w:szCs w:val="32"/>
              </w:rPr>
              <w:drawing>
                <wp:inline distT="0" distB="0" distL="0" distR="0" wp14:anchorId="0CE7B7D0" wp14:editId="308358B1">
                  <wp:extent cx="510169" cy="510169"/>
                  <wp:effectExtent l="0" t="0" r="0" b="0"/>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6131" cy="516131"/>
                          </a:xfrm>
                          <a:prstGeom prst="rect">
                            <a:avLst/>
                          </a:prstGeom>
                        </pic:spPr>
                      </pic:pic>
                    </a:graphicData>
                  </a:graphic>
                </wp:inline>
              </w:drawing>
            </w:r>
          </w:p>
        </w:tc>
        <w:tc>
          <w:tcPr>
            <w:tcW w:w="10070" w:type="dxa"/>
            <w:tcBorders>
              <w:top w:val="nil"/>
              <w:left w:val="nil"/>
              <w:bottom w:val="nil"/>
              <w:right w:val="nil"/>
            </w:tcBorders>
            <w:vAlign w:val="center"/>
          </w:tcPr>
          <w:p w14:paraId="398B7071" w14:textId="77777777" w:rsidR="00D73ACA" w:rsidRPr="00D73ACA" w:rsidRDefault="00D73ACA" w:rsidP="00D739D7">
            <w:pPr>
              <w:ind w:right="540"/>
              <w:rPr>
                <w:rFonts w:ascii="Calibri" w:hAnsi="Calibri" w:cs="Calibri"/>
                <w:b/>
                <w:bCs/>
                <w:color w:val="3399E1"/>
                <w:sz w:val="32"/>
                <w:szCs w:val="32"/>
              </w:rPr>
            </w:pPr>
            <w:r w:rsidRPr="00D73ACA">
              <w:rPr>
                <w:rFonts w:ascii="Calibri" w:hAnsi="Calibri" w:cs="Calibri"/>
                <w:b/>
                <w:bCs/>
                <w:color w:val="3399E1"/>
                <w:sz w:val="32"/>
                <w:szCs w:val="32"/>
              </w:rPr>
              <w:t>How to Use This Toolkit</w:t>
            </w:r>
          </w:p>
          <w:p w14:paraId="349513C2" w14:textId="3741250B" w:rsidR="00D73ACA" w:rsidRPr="0060097B" w:rsidRDefault="00D73ACA" w:rsidP="00D739D7">
            <w:pPr>
              <w:ind w:right="540"/>
              <w:rPr>
                <w:rFonts w:ascii="Calibri" w:hAnsi="Calibri" w:cs="Calibri"/>
                <w:sz w:val="22"/>
                <w:szCs w:val="22"/>
              </w:rPr>
            </w:pPr>
            <w:r w:rsidRPr="0060097B">
              <w:rPr>
                <w:rFonts w:ascii="Calibri" w:hAnsi="Calibri" w:cs="Calibri"/>
                <w:sz w:val="22"/>
                <w:szCs w:val="22"/>
              </w:rPr>
              <w:t xml:space="preserve">Government agencies determine eligibility based on unique requirements per benefit, which sometimes vary by state. This toolkit guides institutions on how to use higher ed data as a proxy to identify the most likely eligible students at their college or university. This toolkit contains the following sections, each of which includes a practical tool to complete the task identified below. </w:t>
            </w:r>
          </w:p>
          <w:p w14:paraId="5623B797" w14:textId="77777777" w:rsidR="00D73ACA" w:rsidRPr="0060097B" w:rsidRDefault="00D73ACA" w:rsidP="00D739D7">
            <w:pPr>
              <w:ind w:right="540"/>
              <w:rPr>
                <w:rFonts w:ascii="Calibri" w:hAnsi="Calibri" w:cs="Calibri"/>
                <w:sz w:val="22"/>
                <w:szCs w:val="22"/>
              </w:rPr>
            </w:pPr>
          </w:p>
          <w:p w14:paraId="33470BF3" w14:textId="41F4E82A" w:rsidR="00D73ACA" w:rsidRPr="0060097B" w:rsidRDefault="00D73ACA" w:rsidP="00764D85">
            <w:pPr>
              <w:pStyle w:val="ListParagraph"/>
              <w:numPr>
                <w:ilvl w:val="0"/>
                <w:numId w:val="1"/>
              </w:numPr>
              <w:spacing w:after="0" w:line="276" w:lineRule="auto"/>
              <w:ind w:left="436" w:right="540" w:hanging="270"/>
              <w:rPr>
                <w:rFonts w:ascii="Calibri" w:hAnsi="Calibri" w:cs="Calibri"/>
              </w:rPr>
            </w:pPr>
            <w:r w:rsidRPr="00993A6D">
              <w:rPr>
                <w:rFonts w:ascii="Calibri" w:hAnsi="Calibri" w:cs="Calibri"/>
                <w:b/>
                <w:bCs/>
                <w:color w:val="152E5F"/>
              </w:rPr>
              <w:t>Assess Current Practices:</w:t>
            </w:r>
            <w:r w:rsidRPr="00993A6D">
              <w:rPr>
                <w:rFonts w:ascii="Calibri" w:hAnsi="Calibri" w:cs="Calibri"/>
                <w:color w:val="152E5F"/>
              </w:rPr>
              <w:t xml:space="preserve"> </w:t>
            </w:r>
            <w:r w:rsidRPr="0060097B">
              <w:rPr>
                <w:rFonts w:ascii="Calibri" w:hAnsi="Calibri" w:cs="Calibri"/>
              </w:rPr>
              <w:t>Identify what you can learn from existing outreach efforts at your institution and apply lessons to efforts to identify students likely eligible for benefits</w:t>
            </w:r>
            <w:r w:rsidR="0088373F">
              <w:rPr>
                <w:rFonts w:ascii="Calibri" w:hAnsi="Calibri" w:cs="Calibri"/>
              </w:rPr>
              <w:t>.</w:t>
            </w:r>
            <w:r w:rsidRPr="0060097B">
              <w:rPr>
                <w:rFonts w:ascii="Calibri" w:hAnsi="Calibri" w:cs="Calibri"/>
              </w:rPr>
              <w:t xml:space="preserve"> </w:t>
            </w:r>
          </w:p>
          <w:p w14:paraId="47A238ED" w14:textId="6B7B76FC" w:rsidR="00D73ACA" w:rsidRPr="0060097B" w:rsidRDefault="00D73ACA" w:rsidP="00764D85">
            <w:pPr>
              <w:pStyle w:val="ListParagraph"/>
              <w:numPr>
                <w:ilvl w:val="0"/>
                <w:numId w:val="1"/>
              </w:numPr>
              <w:spacing w:after="0" w:line="276" w:lineRule="auto"/>
              <w:ind w:left="436" w:right="540" w:hanging="270"/>
              <w:rPr>
                <w:rFonts w:ascii="Calibri" w:hAnsi="Calibri" w:cs="Calibri"/>
              </w:rPr>
            </w:pPr>
            <w:r w:rsidRPr="00993A6D">
              <w:rPr>
                <w:rFonts w:ascii="Calibri" w:hAnsi="Calibri" w:cs="Calibri"/>
                <w:b/>
                <w:bCs/>
                <w:color w:val="152E5F"/>
              </w:rPr>
              <w:t>Goal Setting:</w:t>
            </w:r>
            <w:r w:rsidRPr="00993A6D">
              <w:rPr>
                <w:rFonts w:ascii="Calibri" w:hAnsi="Calibri" w:cs="Calibri"/>
                <w:color w:val="152E5F"/>
              </w:rPr>
              <w:t xml:space="preserve"> </w:t>
            </w:r>
            <w:r w:rsidRPr="0060097B">
              <w:rPr>
                <w:rFonts w:ascii="Calibri" w:hAnsi="Calibri" w:cs="Calibri"/>
              </w:rPr>
              <w:t>Establish clear goals to guide your initiative to curate data and identify students likely eligible for benefits</w:t>
            </w:r>
            <w:r w:rsidR="0088373F">
              <w:rPr>
                <w:rFonts w:ascii="Calibri" w:hAnsi="Calibri" w:cs="Calibri"/>
              </w:rPr>
              <w:t>.</w:t>
            </w:r>
            <w:r w:rsidRPr="0060097B">
              <w:rPr>
                <w:rFonts w:ascii="Calibri" w:hAnsi="Calibri" w:cs="Calibri"/>
              </w:rPr>
              <w:t xml:space="preserve"> </w:t>
            </w:r>
          </w:p>
          <w:p w14:paraId="356EB929" w14:textId="7A9098AE" w:rsidR="00D73ACA" w:rsidRPr="0060097B" w:rsidRDefault="00D73ACA" w:rsidP="00764D85">
            <w:pPr>
              <w:pStyle w:val="ListParagraph"/>
              <w:numPr>
                <w:ilvl w:val="0"/>
                <w:numId w:val="1"/>
              </w:numPr>
              <w:spacing w:after="0" w:line="276" w:lineRule="auto"/>
              <w:ind w:left="436" w:right="540" w:hanging="270"/>
              <w:rPr>
                <w:rFonts w:ascii="Calibri" w:hAnsi="Calibri" w:cs="Calibri"/>
              </w:rPr>
            </w:pPr>
            <w:r w:rsidRPr="00993A6D">
              <w:rPr>
                <w:rFonts w:ascii="Calibri" w:hAnsi="Calibri" w:cs="Calibri"/>
                <w:b/>
                <w:bCs/>
                <w:color w:val="152E5F"/>
              </w:rPr>
              <w:t>Build a Campus Team:</w:t>
            </w:r>
            <w:r w:rsidRPr="00993A6D">
              <w:rPr>
                <w:rFonts w:ascii="Calibri" w:hAnsi="Calibri" w:cs="Calibri"/>
                <w:color w:val="152E5F"/>
              </w:rPr>
              <w:t xml:space="preserve"> </w:t>
            </w:r>
            <w:r w:rsidRPr="0060097B">
              <w:rPr>
                <w:rFonts w:ascii="Calibri" w:hAnsi="Calibri" w:cs="Calibri"/>
              </w:rPr>
              <w:t>Identify and engage campus partners that are needed to develop and implement efforts to connect students with benefits</w:t>
            </w:r>
            <w:r w:rsidR="0088373F">
              <w:rPr>
                <w:rFonts w:ascii="Calibri" w:hAnsi="Calibri" w:cs="Calibri"/>
              </w:rPr>
              <w:t>.</w:t>
            </w:r>
            <w:r w:rsidRPr="0060097B">
              <w:rPr>
                <w:rFonts w:ascii="Calibri" w:hAnsi="Calibri" w:cs="Calibri"/>
              </w:rPr>
              <w:t xml:space="preserve"> </w:t>
            </w:r>
          </w:p>
          <w:p w14:paraId="73C2244C" w14:textId="183E4439" w:rsidR="00D73ACA" w:rsidRPr="0060097B" w:rsidRDefault="00D73ACA" w:rsidP="00764D85">
            <w:pPr>
              <w:pStyle w:val="ListParagraph"/>
              <w:numPr>
                <w:ilvl w:val="0"/>
                <w:numId w:val="1"/>
              </w:numPr>
              <w:spacing w:after="0" w:line="276" w:lineRule="auto"/>
              <w:ind w:left="436" w:right="540" w:hanging="270"/>
              <w:rPr>
                <w:rFonts w:ascii="Calibri" w:hAnsi="Calibri" w:cs="Calibri"/>
              </w:rPr>
            </w:pPr>
            <w:r w:rsidRPr="00993A6D">
              <w:rPr>
                <w:rFonts w:ascii="Calibri" w:hAnsi="Calibri" w:cs="Calibri"/>
                <w:b/>
                <w:bCs/>
                <w:color w:val="152E5F"/>
              </w:rPr>
              <w:t>Explore Available Data:</w:t>
            </w:r>
            <w:r w:rsidRPr="00993A6D">
              <w:rPr>
                <w:rFonts w:ascii="Calibri" w:hAnsi="Calibri" w:cs="Calibri"/>
                <w:color w:val="152E5F"/>
              </w:rPr>
              <w:t xml:space="preserve"> </w:t>
            </w:r>
            <w:r w:rsidRPr="0060097B">
              <w:rPr>
                <w:rFonts w:ascii="Calibri" w:hAnsi="Calibri" w:cs="Calibri"/>
              </w:rPr>
              <w:t>Explore what data are available at your institution to identify students who can be connected to public benefit programs</w:t>
            </w:r>
            <w:r w:rsidR="0088373F">
              <w:rPr>
                <w:rFonts w:ascii="Calibri" w:hAnsi="Calibri" w:cs="Calibri"/>
              </w:rPr>
              <w:t>.</w:t>
            </w:r>
            <w:r w:rsidRPr="0060097B">
              <w:rPr>
                <w:rFonts w:ascii="Calibri" w:hAnsi="Calibri" w:cs="Calibri"/>
              </w:rPr>
              <w:t xml:space="preserve"> </w:t>
            </w:r>
          </w:p>
          <w:p w14:paraId="79F75F9B" w14:textId="596A812A" w:rsidR="00D73ACA" w:rsidRPr="0060097B" w:rsidRDefault="00D73ACA" w:rsidP="00764D85">
            <w:pPr>
              <w:pStyle w:val="ListParagraph"/>
              <w:numPr>
                <w:ilvl w:val="0"/>
                <w:numId w:val="1"/>
              </w:numPr>
              <w:spacing w:after="0" w:line="276" w:lineRule="auto"/>
              <w:ind w:left="436" w:right="540" w:hanging="270"/>
              <w:rPr>
                <w:rFonts w:ascii="Calibri" w:hAnsi="Calibri" w:cs="Calibri"/>
              </w:rPr>
            </w:pPr>
            <w:r w:rsidRPr="00993A6D">
              <w:rPr>
                <w:rFonts w:ascii="Calibri" w:hAnsi="Calibri" w:cs="Calibri"/>
                <w:b/>
                <w:bCs/>
                <w:color w:val="152E5F"/>
              </w:rPr>
              <w:t>Choose Benefits for Outreach</w:t>
            </w:r>
            <w:r w:rsidRPr="0060097B">
              <w:rPr>
                <w:rFonts w:ascii="Calibri" w:hAnsi="Calibri" w:cs="Calibri"/>
                <w:b/>
                <w:bCs/>
              </w:rPr>
              <w:t>:</w:t>
            </w:r>
            <w:r w:rsidRPr="0060097B">
              <w:rPr>
                <w:rFonts w:ascii="Calibri" w:hAnsi="Calibri" w:cs="Calibri"/>
              </w:rPr>
              <w:t xml:space="preserve"> Decide what benefit programs you will connect students with, based on the data elements you determined are available to you in Tool 4</w:t>
            </w:r>
            <w:r w:rsidR="0088373F">
              <w:rPr>
                <w:rFonts w:ascii="Calibri" w:hAnsi="Calibri" w:cs="Calibri"/>
              </w:rPr>
              <w:t>.</w:t>
            </w:r>
          </w:p>
          <w:p w14:paraId="221BC202" w14:textId="581C2F77" w:rsidR="00D73ACA" w:rsidRPr="0060097B" w:rsidRDefault="00D73ACA" w:rsidP="00764D85">
            <w:pPr>
              <w:pStyle w:val="ListParagraph"/>
              <w:numPr>
                <w:ilvl w:val="0"/>
                <w:numId w:val="1"/>
              </w:numPr>
              <w:spacing w:after="0" w:line="276" w:lineRule="auto"/>
              <w:ind w:left="436" w:right="540" w:hanging="270"/>
              <w:rPr>
                <w:rFonts w:ascii="Calibri" w:hAnsi="Calibri" w:cs="Calibri"/>
              </w:rPr>
            </w:pPr>
            <w:r w:rsidRPr="00993A6D">
              <w:rPr>
                <w:rFonts w:ascii="Calibri" w:hAnsi="Calibri" w:cs="Calibri"/>
                <w:b/>
                <w:bCs/>
                <w:color w:val="152E5F"/>
              </w:rPr>
              <w:t xml:space="preserve">Visual Guide to Curating Data: </w:t>
            </w:r>
            <w:r w:rsidRPr="0060097B">
              <w:rPr>
                <w:rFonts w:ascii="Calibri" w:hAnsi="Calibri" w:cs="Calibri"/>
              </w:rPr>
              <w:t>Use this visual guide to better understand the steps involved in curating your data by benefit program</w:t>
            </w:r>
            <w:r w:rsidR="0088373F">
              <w:rPr>
                <w:rFonts w:ascii="Calibri" w:hAnsi="Calibri" w:cs="Calibri"/>
              </w:rPr>
              <w:t>.</w:t>
            </w:r>
            <w:r w:rsidRPr="0060097B">
              <w:rPr>
                <w:rFonts w:ascii="Calibri" w:hAnsi="Calibri" w:cs="Calibri"/>
              </w:rPr>
              <w:t xml:space="preserve"> </w:t>
            </w:r>
          </w:p>
          <w:p w14:paraId="793EE468" w14:textId="77777777" w:rsidR="00C40D81" w:rsidRDefault="00D73ACA" w:rsidP="00C40D81">
            <w:pPr>
              <w:pStyle w:val="ListParagraph"/>
              <w:numPr>
                <w:ilvl w:val="0"/>
                <w:numId w:val="1"/>
              </w:numPr>
              <w:spacing w:after="0" w:line="276" w:lineRule="auto"/>
              <w:ind w:left="436" w:right="540" w:hanging="270"/>
              <w:rPr>
                <w:rFonts w:ascii="Calibri" w:hAnsi="Calibri" w:cs="Calibri"/>
              </w:rPr>
            </w:pPr>
            <w:r w:rsidRPr="00993A6D">
              <w:rPr>
                <w:rFonts w:ascii="Calibri" w:hAnsi="Calibri" w:cs="Calibri"/>
                <w:b/>
                <w:bCs/>
                <w:color w:val="152E5F"/>
              </w:rPr>
              <w:t>Create an Action Plan:</w:t>
            </w:r>
            <w:r w:rsidRPr="00993A6D">
              <w:rPr>
                <w:rFonts w:ascii="Calibri" w:hAnsi="Calibri" w:cs="Calibri"/>
                <w:color w:val="152E5F"/>
              </w:rPr>
              <w:t xml:space="preserve"> </w:t>
            </w:r>
            <w:r w:rsidRPr="0060097B">
              <w:rPr>
                <w:rFonts w:ascii="Calibri" w:hAnsi="Calibri" w:cs="Calibri"/>
              </w:rPr>
              <w:t>Develop a work plan and realistic timeline to implement this project at your institution</w:t>
            </w:r>
            <w:r w:rsidR="0088373F">
              <w:rPr>
                <w:rFonts w:ascii="Calibri" w:hAnsi="Calibri" w:cs="Calibri"/>
              </w:rPr>
              <w:t>.</w:t>
            </w:r>
            <w:r w:rsidRPr="0060097B">
              <w:rPr>
                <w:rFonts w:ascii="Calibri" w:hAnsi="Calibri" w:cs="Calibri"/>
              </w:rPr>
              <w:t xml:space="preserve"> </w:t>
            </w:r>
          </w:p>
          <w:p w14:paraId="4A89615A" w14:textId="013BB5C6" w:rsidR="000C1D73" w:rsidRPr="00D55688" w:rsidRDefault="00D55688" w:rsidP="00D55688">
            <w:pPr>
              <w:pStyle w:val="ListParagraph"/>
              <w:numPr>
                <w:ilvl w:val="0"/>
                <w:numId w:val="1"/>
              </w:numPr>
              <w:spacing w:after="0" w:line="276" w:lineRule="auto"/>
              <w:ind w:left="436" w:right="540" w:hanging="270"/>
              <w:rPr>
                <w:rFonts w:ascii="Calibri" w:hAnsi="Calibri" w:cs="Calibri"/>
              </w:rPr>
            </w:pPr>
            <w:r>
              <w:rPr>
                <w:rFonts w:ascii="Calibri" w:hAnsi="Calibri" w:cs="Calibri"/>
                <w:b/>
                <w:bCs/>
                <w:color w:val="152E5F"/>
              </w:rPr>
              <w:t>Evaluate Efforts</w:t>
            </w:r>
            <w:r w:rsidR="000C1D73" w:rsidRPr="00C40D81">
              <w:rPr>
                <w:rFonts w:ascii="Calibri" w:hAnsi="Calibri" w:cs="Calibri"/>
                <w:b/>
                <w:bCs/>
                <w:color w:val="152E5F"/>
              </w:rPr>
              <w:t>:</w:t>
            </w:r>
            <w:r w:rsidR="000C1D73" w:rsidRPr="00C40D81">
              <w:rPr>
                <w:rFonts w:ascii="Calibri" w:hAnsi="Calibri" w:cs="Calibri"/>
                <w:color w:val="152E5F"/>
              </w:rPr>
              <w:t xml:space="preserve"> </w:t>
            </w:r>
            <w:r w:rsidRPr="00D55688">
              <w:rPr>
                <w:rFonts w:ascii="Calibri" w:hAnsi="Calibri" w:cs="Calibri"/>
              </w:rPr>
              <w:t>Document your learnings to identify areas for improvement, celebrate successes, and motivate campus buy-in to continue or scale this work.</w:t>
            </w:r>
          </w:p>
          <w:p w14:paraId="64C6C10A" w14:textId="77777777" w:rsidR="00D73ACA" w:rsidRPr="0060097B" w:rsidRDefault="00D73ACA" w:rsidP="00D739D7">
            <w:pPr>
              <w:pStyle w:val="ListParagraph"/>
              <w:spacing w:after="0" w:line="240" w:lineRule="auto"/>
              <w:ind w:right="540"/>
              <w:rPr>
                <w:rFonts w:ascii="Calibri" w:hAnsi="Calibri" w:cs="Calibri"/>
              </w:rPr>
            </w:pPr>
          </w:p>
          <w:p w14:paraId="6630533D" w14:textId="261C05CF" w:rsidR="00D73ACA" w:rsidRPr="00D739D7" w:rsidRDefault="00D73ACA" w:rsidP="00D739D7">
            <w:pPr>
              <w:ind w:right="540"/>
              <w:rPr>
                <w:rFonts w:ascii="Calibri" w:hAnsi="Calibri" w:cs="Calibri"/>
                <w:sz w:val="22"/>
                <w:szCs w:val="22"/>
              </w:rPr>
            </w:pPr>
            <w:r w:rsidRPr="0060097B">
              <w:rPr>
                <w:rFonts w:ascii="Calibri" w:hAnsi="Calibri" w:cs="Calibri"/>
                <w:sz w:val="22"/>
                <w:szCs w:val="22"/>
              </w:rPr>
              <w:t xml:space="preserve">We have designed these resources to build sequentially and encourage you to start with Tool 1. We recognize, however, that institutions may be at different stages in their benefits access journey and may choose to focus on specific tools. </w:t>
            </w:r>
          </w:p>
        </w:tc>
      </w:tr>
    </w:tbl>
    <w:p w14:paraId="0E34BC68" w14:textId="77777777" w:rsidR="00D739D7" w:rsidRDefault="00D739D7" w:rsidP="00D739D7">
      <w:pPr>
        <w:ind w:right="540"/>
        <w:rPr>
          <w:rFonts w:ascii="Calibri" w:hAnsi="Calibri" w:cs="Calibri"/>
          <w:b/>
          <w:bCs/>
          <w:sz w:val="22"/>
          <w:szCs w:val="22"/>
        </w:rPr>
      </w:pPr>
    </w:p>
    <w:tbl>
      <w:tblPr>
        <w:tblStyle w:val="TableGrid"/>
        <w:tblW w:w="10970" w:type="dxa"/>
        <w:tblInd w:w="-90" w:type="dxa"/>
        <w:tblLayout w:type="fixed"/>
        <w:tblLook w:val="04A0" w:firstRow="1" w:lastRow="0" w:firstColumn="1" w:lastColumn="0" w:noHBand="0" w:noVBand="1"/>
      </w:tblPr>
      <w:tblGrid>
        <w:gridCol w:w="900"/>
        <w:gridCol w:w="10070"/>
      </w:tblGrid>
      <w:tr w:rsidR="00D73ACA" w14:paraId="0428E69C" w14:textId="77777777" w:rsidTr="0005775D">
        <w:trPr>
          <w:trHeight w:val="846"/>
        </w:trPr>
        <w:tc>
          <w:tcPr>
            <w:tcW w:w="900" w:type="dxa"/>
            <w:tcBorders>
              <w:top w:val="nil"/>
              <w:left w:val="nil"/>
              <w:bottom w:val="nil"/>
              <w:right w:val="nil"/>
            </w:tcBorders>
          </w:tcPr>
          <w:p w14:paraId="610E2588" w14:textId="3AE14C6B" w:rsidR="00D73ACA" w:rsidRDefault="00D237FB" w:rsidP="00D739D7">
            <w:pPr>
              <w:spacing w:line="320" w:lineRule="auto"/>
              <w:ind w:right="540"/>
              <w:rPr>
                <w:sz w:val="32"/>
                <w:szCs w:val="32"/>
              </w:rPr>
            </w:pPr>
            <w:r>
              <w:rPr>
                <w:noProof/>
              </w:rPr>
              <w:drawing>
                <wp:inline distT="0" distB="0" distL="0" distR="0" wp14:anchorId="703D76EA" wp14:editId="56CE386C">
                  <wp:extent cx="469127" cy="469127"/>
                  <wp:effectExtent l="0" t="0" r="1270" b="1270"/>
                  <wp:docPr id="2" name="Picture 2" descr="A picture containing text, pool bal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ool ball,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6449" cy="486449"/>
                          </a:xfrm>
                          <a:prstGeom prst="rect">
                            <a:avLst/>
                          </a:prstGeom>
                        </pic:spPr>
                      </pic:pic>
                    </a:graphicData>
                  </a:graphic>
                </wp:inline>
              </w:drawing>
            </w:r>
          </w:p>
        </w:tc>
        <w:tc>
          <w:tcPr>
            <w:tcW w:w="10070" w:type="dxa"/>
            <w:tcBorders>
              <w:top w:val="nil"/>
              <w:left w:val="nil"/>
              <w:bottom w:val="nil"/>
              <w:right w:val="nil"/>
            </w:tcBorders>
            <w:vAlign w:val="center"/>
          </w:tcPr>
          <w:p w14:paraId="1CBB1DD7" w14:textId="77777777" w:rsidR="00D73ACA" w:rsidRPr="00D73ACA" w:rsidRDefault="00D73ACA" w:rsidP="00D739D7">
            <w:pPr>
              <w:ind w:right="540"/>
              <w:rPr>
                <w:rFonts w:ascii="Calibri" w:hAnsi="Calibri" w:cs="Calibri"/>
                <w:b/>
                <w:bCs/>
                <w:color w:val="3399E1"/>
                <w:sz w:val="10"/>
                <w:szCs w:val="10"/>
              </w:rPr>
            </w:pPr>
          </w:p>
          <w:p w14:paraId="418E91E4" w14:textId="7F09241B" w:rsidR="00D73ACA" w:rsidRPr="00D73ACA" w:rsidRDefault="00D73ACA" w:rsidP="00D739D7">
            <w:pPr>
              <w:spacing w:after="240"/>
              <w:ind w:right="540"/>
              <w:rPr>
                <w:rFonts w:ascii="Calibri" w:hAnsi="Calibri" w:cs="Calibri"/>
                <w:b/>
                <w:bCs/>
                <w:color w:val="3399E1"/>
                <w:sz w:val="32"/>
                <w:szCs w:val="32"/>
              </w:rPr>
            </w:pPr>
            <w:r w:rsidRPr="00D73ACA">
              <w:rPr>
                <w:rFonts w:ascii="Calibri" w:hAnsi="Calibri" w:cs="Calibri"/>
                <w:b/>
                <w:bCs/>
                <w:color w:val="3399E1"/>
                <w:sz w:val="32"/>
                <w:szCs w:val="32"/>
              </w:rPr>
              <w:t>Maintaining Student Data Privacy</w:t>
            </w:r>
          </w:p>
          <w:p w14:paraId="6F620F9E" w14:textId="77777777" w:rsidR="00D73ACA" w:rsidRPr="0060097B" w:rsidRDefault="00D73ACA" w:rsidP="00D739D7">
            <w:pPr>
              <w:ind w:right="540"/>
              <w:rPr>
                <w:rFonts w:ascii="Calibri" w:eastAsia="Calibri" w:hAnsi="Calibri" w:cs="Calibri"/>
                <w:color w:val="000000" w:themeColor="text1"/>
                <w:sz w:val="22"/>
                <w:szCs w:val="22"/>
              </w:rPr>
            </w:pPr>
            <w:r w:rsidRPr="0060097B">
              <w:rPr>
                <w:rFonts w:ascii="Calibri" w:eastAsia="Calibri" w:hAnsi="Calibri" w:cs="Calibri"/>
                <w:color w:val="000000" w:themeColor="text1"/>
                <w:sz w:val="22"/>
                <w:szCs w:val="22"/>
              </w:rPr>
              <w:t xml:space="preserve">Privacy concerns and Family Educational Rights and Privacy Act (FERPA) compliance are critical for higher education institutions. Fortunately, neither factor prevents institutions from using data strategically to help students access benefits. </w:t>
            </w:r>
          </w:p>
          <w:p w14:paraId="1FFE0ACD" w14:textId="77777777" w:rsidR="00D73ACA" w:rsidRPr="0060097B" w:rsidRDefault="00D73ACA" w:rsidP="00D739D7">
            <w:pPr>
              <w:ind w:right="540"/>
              <w:rPr>
                <w:rFonts w:ascii="Calibri" w:eastAsia="Calibri" w:hAnsi="Calibri" w:cs="Calibri"/>
                <w:color w:val="000000" w:themeColor="text1"/>
                <w:sz w:val="22"/>
                <w:szCs w:val="22"/>
              </w:rPr>
            </w:pPr>
          </w:p>
          <w:p w14:paraId="6FF10B40" w14:textId="77777777" w:rsidR="00D73ACA" w:rsidRPr="0060097B" w:rsidRDefault="00D73ACA" w:rsidP="00D739D7">
            <w:pPr>
              <w:ind w:right="540"/>
              <w:rPr>
                <w:rFonts w:ascii="Calibri" w:eastAsia="Calibri" w:hAnsi="Calibri" w:cs="Calibri"/>
                <w:color w:val="000000" w:themeColor="text1"/>
                <w:sz w:val="22"/>
                <w:szCs w:val="22"/>
              </w:rPr>
            </w:pPr>
            <w:r w:rsidRPr="0060097B">
              <w:rPr>
                <w:rFonts w:ascii="Calibri" w:eastAsia="Calibri" w:hAnsi="Calibri" w:cs="Calibri"/>
                <w:color w:val="000000" w:themeColor="text1"/>
                <w:sz w:val="22"/>
                <w:szCs w:val="22"/>
              </w:rPr>
              <w:t xml:space="preserve">While collecting consent from students is necessary to share data with external parties, institutions can cull their data to identify students who are likely eligible for public benefits and use this data internally </w:t>
            </w:r>
            <w:r w:rsidRPr="0060097B">
              <w:rPr>
                <w:rFonts w:ascii="Calibri" w:eastAsia="Calibri" w:hAnsi="Calibri" w:cs="Calibri"/>
                <w:color w:val="000000" w:themeColor="text1"/>
                <w:sz w:val="22"/>
                <w:szCs w:val="22"/>
              </w:rPr>
              <w:lastRenderedPageBreak/>
              <w:t xml:space="preserve">to support students without violating FERPA. Specifically, institutions can use data internally to outreach to their own students without requiring student consent. </w:t>
            </w:r>
          </w:p>
          <w:p w14:paraId="0D49799C" w14:textId="77777777" w:rsidR="00D73ACA" w:rsidRPr="0060097B" w:rsidRDefault="00D73ACA" w:rsidP="00D739D7">
            <w:pPr>
              <w:ind w:right="540"/>
              <w:rPr>
                <w:rFonts w:ascii="Calibri" w:eastAsia="Calibri" w:hAnsi="Calibri" w:cs="Calibri"/>
                <w:color w:val="000000" w:themeColor="text1"/>
                <w:sz w:val="22"/>
                <w:szCs w:val="22"/>
              </w:rPr>
            </w:pPr>
          </w:p>
          <w:p w14:paraId="317582D5" w14:textId="13EB3FF4" w:rsidR="00D73ACA" w:rsidRPr="00511FE9" w:rsidRDefault="00D73ACA" w:rsidP="00511FE9">
            <w:pPr>
              <w:ind w:right="540"/>
              <w:rPr>
                <w:rFonts w:ascii="Calibri" w:eastAsia="Calibri" w:hAnsi="Calibri" w:cs="Calibri"/>
                <w:color w:val="000000" w:themeColor="text1"/>
                <w:sz w:val="22"/>
                <w:szCs w:val="22"/>
              </w:rPr>
            </w:pPr>
            <w:r w:rsidRPr="0060097B">
              <w:rPr>
                <w:rFonts w:ascii="Calibri" w:eastAsia="Calibri" w:hAnsi="Calibri" w:cs="Calibri"/>
                <w:color w:val="000000" w:themeColor="text1"/>
                <w:sz w:val="22"/>
                <w:szCs w:val="22"/>
              </w:rPr>
              <w:t xml:space="preserve">With student consent, colleges and universities can share data with external parties such as local departments of human services or nonprofits like Benefits Data Trust. This may help institutions offer more coordinated and comprehensive services to help students access benefits. If you have questions or to explore partnership opportunities, reach out to Neeta Sonalkar, Director of Higher Education Innovation, at </w:t>
            </w:r>
            <w:r w:rsidR="0088373F">
              <w:rPr>
                <w:rFonts w:ascii="Calibri" w:eastAsia="Calibri" w:hAnsi="Calibri" w:cs="Calibri"/>
                <w:b/>
                <w:bCs/>
                <w:sz w:val="22"/>
                <w:szCs w:val="22"/>
              </w:rPr>
              <w:t>highered</w:t>
            </w:r>
            <w:r w:rsidRPr="0060097B">
              <w:rPr>
                <w:rFonts w:ascii="Calibri" w:eastAsia="Calibri" w:hAnsi="Calibri" w:cs="Calibri"/>
                <w:b/>
                <w:bCs/>
                <w:sz w:val="22"/>
                <w:szCs w:val="22"/>
              </w:rPr>
              <w:t>@bdtrust.org.</w:t>
            </w:r>
          </w:p>
        </w:tc>
      </w:tr>
    </w:tbl>
    <w:p w14:paraId="40D78738" w14:textId="0B601D3F" w:rsidR="0045749F" w:rsidRPr="0060097B" w:rsidRDefault="0045749F" w:rsidP="00D739D7">
      <w:pPr>
        <w:ind w:right="540"/>
        <w:rPr>
          <w:rFonts w:ascii="Calibri" w:hAnsi="Calibri" w:cs="Calibri"/>
          <w:b/>
          <w:bCs/>
          <w:sz w:val="22"/>
          <w:szCs w:val="22"/>
        </w:rPr>
      </w:pPr>
    </w:p>
    <w:tbl>
      <w:tblPr>
        <w:tblStyle w:val="TableGrid"/>
        <w:tblW w:w="10970" w:type="dxa"/>
        <w:tblInd w:w="-90" w:type="dxa"/>
        <w:tblLayout w:type="fixed"/>
        <w:tblLook w:val="04A0" w:firstRow="1" w:lastRow="0" w:firstColumn="1" w:lastColumn="0" w:noHBand="0" w:noVBand="1"/>
      </w:tblPr>
      <w:tblGrid>
        <w:gridCol w:w="900"/>
        <w:gridCol w:w="10070"/>
      </w:tblGrid>
      <w:tr w:rsidR="0002380E" w14:paraId="144EFA0C" w14:textId="77777777" w:rsidTr="0005775D">
        <w:trPr>
          <w:trHeight w:val="846"/>
        </w:trPr>
        <w:tc>
          <w:tcPr>
            <w:tcW w:w="900" w:type="dxa"/>
            <w:tcBorders>
              <w:top w:val="nil"/>
              <w:left w:val="nil"/>
              <w:bottom w:val="nil"/>
              <w:right w:val="nil"/>
            </w:tcBorders>
          </w:tcPr>
          <w:p w14:paraId="0DEB327B" w14:textId="67690E58" w:rsidR="0002380E" w:rsidRDefault="000F0251" w:rsidP="00D739D7">
            <w:pPr>
              <w:spacing w:line="320" w:lineRule="auto"/>
              <w:ind w:right="540"/>
              <w:rPr>
                <w:sz w:val="32"/>
                <w:szCs w:val="32"/>
              </w:rPr>
            </w:pPr>
            <w:r w:rsidRPr="00DA6D62">
              <w:rPr>
                <w:i/>
                <w:iCs/>
                <w:noProof/>
                <w:color w:val="595959" w:themeColor="text1" w:themeTint="A6"/>
                <w:sz w:val="22"/>
                <w:szCs w:val="22"/>
              </w:rPr>
              <w:drawing>
                <wp:inline distT="0" distB="0" distL="0" distR="0" wp14:anchorId="44583623" wp14:editId="0721B356">
                  <wp:extent cx="489879" cy="476885"/>
                  <wp:effectExtent l="0" t="0" r="5715" b="571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3" cstate="print">
                            <a:extLst>
                              <a:ext uri="{28A0092B-C50C-407E-A947-70E740481C1C}">
                                <a14:useLocalDpi xmlns:a14="http://schemas.microsoft.com/office/drawing/2010/main" val="0"/>
                              </a:ext>
                            </a:extLst>
                          </a:blip>
                          <a:srcRect t="1326" b="1326"/>
                          <a:stretch>
                            <a:fillRect/>
                          </a:stretch>
                        </pic:blipFill>
                        <pic:spPr bwMode="auto">
                          <a:xfrm>
                            <a:off x="0" y="0"/>
                            <a:ext cx="489879" cy="476885"/>
                          </a:xfrm>
                          <a:prstGeom prst="rect">
                            <a:avLst/>
                          </a:prstGeom>
                          <a:ln>
                            <a:noFill/>
                          </a:ln>
                          <a:extLst>
                            <a:ext uri="{53640926-AAD7-44D8-BBD7-CCE9431645EC}">
                              <a14:shadowObscured xmlns:a14="http://schemas.microsoft.com/office/drawing/2010/main"/>
                            </a:ext>
                          </a:extLst>
                        </pic:spPr>
                      </pic:pic>
                    </a:graphicData>
                  </a:graphic>
                </wp:inline>
              </w:drawing>
            </w:r>
          </w:p>
        </w:tc>
        <w:tc>
          <w:tcPr>
            <w:tcW w:w="10070" w:type="dxa"/>
            <w:tcBorders>
              <w:top w:val="nil"/>
              <w:left w:val="nil"/>
              <w:bottom w:val="nil"/>
              <w:right w:val="nil"/>
            </w:tcBorders>
            <w:vAlign w:val="center"/>
          </w:tcPr>
          <w:p w14:paraId="72C380EB" w14:textId="3CE2DE36" w:rsidR="0002380E" w:rsidRPr="00A018DA" w:rsidRDefault="0002380E" w:rsidP="00D739D7">
            <w:pPr>
              <w:spacing w:before="160" w:line="319" w:lineRule="auto"/>
              <w:ind w:right="540"/>
              <w:rPr>
                <w:rStyle w:val="normaltextrun"/>
                <w:rFonts w:eastAsia="Times New Roman" w:cstheme="minorHAnsi"/>
                <w:b/>
                <w:bCs/>
                <w:color w:val="3399E1"/>
                <w:sz w:val="32"/>
                <w:szCs w:val="32"/>
                <w:shd w:val="clear" w:color="auto" w:fill="FFFFFF"/>
              </w:rPr>
            </w:pPr>
            <w:r>
              <w:rPr>
                <w:rFonts w:eastAsia="Times New Roman" w:cstheme="minorHAnsi"/>
                <w:b/>
                <w:bCs/>
                <w:color w:val="3399E1"/>
                <w:sz w:val="32"/>
                <w:szCs w:val="32"/>
                <w:shd w:val="clear" w:color="auto" w:fill="FFFFFF"/>
              </w:rPr>
              <w:t>Acknowledgments</w:t>
            </w:r>
          </w:p>
          <w:p w14:paraId="48B624B4" w14:textId="019681D2" w:rsidR="00326F49" w:rsidRPr="00A018DA" w:rsidRDefault="00326F49" w:rsidP="00764D85">
            <w:pPr>
              <w:spacing w:after="80"/>
              <w:ind w:right="547"/>
              <w:rPr>
                <w:rFonts w:ascii="Calibri" w:hAnsi="Calibri" w:cs="Calibri"/>
                <w:b/>
                <w:bCs/>
                <w:color w:val="152E5F"/>
                <w:sz w:val="21"/>
                <w:szCs w:val="21"/>
              </w:rPr>
            </w:pPr>
            <w:r w:rsidRPr="00A018DA">
              <w:rPr>
                <w:rFonts w:ascii="Calibri" w:hAnsi="Calibri" w:cs="Calibri"/>
                <w:b/>
                <w:color w:val="152E5F"/>
              </w:rPr>
              <w:t xml:space="preserve">Toolkit Advisory Council </w:t>
            </w:r>
          </w:p>
          <w:p w14:paraId="0EAAE25D" w14:textId="77777777" w:rsidR="00326F49" w:rsidRPr="0060097B" w:rsidRDefault="00326F49" w:rsidP="00D739D7">
            <w:pPr>
              <w:ind w:right="540"/>
              <w:rPr>
                <w:rFonts w:ascii="Calibri" w:hAnsi="Calibri" w:cs="Calibri"/>
                <w:sz w:val="22"/>
                <w:szCs w:val="22"/>
              </w:rPr>
            </w:pPr>
            <w:r w:rsidRPr="0060097B">
              <w:rPr>
                <w:rFonts w:ascii="Calibri" w:hAnsi="Calibri" w:cs="Calibri"/>
                <w:sz w:val="22"/>
                <w:szCs w:val="22"/>
              </w:rPr>
              <w:t>Thank you to our Toolkit Advisory Council for providing insight and feedback to develop this resource for colleges and universities. Engagement of the advisory council members listed below does not indicate endorsement by either the individual or their affiliated organization or institution.</w:t>
            </w:r>
          </w:p>
          <w:p w14:paraId="4CBABC83" w14:textId="77777777" w:rsidR="00326F49" w:rsidRPr="0060097B" w:rsidRDefault="00326F49" w:rsidP="00D739D7">
            <w:pPr>
              <w:ind w:right="540"/>
              <w:rPr>
                <w:rFonts w:ascii="Calibri" w:hAnsi="Calibri" w:cs="Calibri"/>
                <w:b/>
                <w:bCs/>
                <w:sz w:val="22"/>
                <w:szCs w:val="22"/>
              </w:rPr>
            </w:pPr>
          </w:p>
          <w:p w14:paraId="32DEC64E" w14:textId="77777777" w:rsidR="00326F49" w:rsidRPr="0060097B" w:rsidRDefault="00326F49" w:rsidP="00D739D7">
            <w:pPr>
              <w:ind w:right="540"/>
              <w:rPr>
                <w:rFonts w:ascii="Calibri" w:hAnsi="Calibri" w:cs="Calibri"/>
                <w:sz w:val="22"/>
                <w:szCs w:val="22"/>
              </w:rPr>
            </w:pPr>
            <w:r w:rsidRPr="0060097B">
              <w:rPr>
                <w:rFonts w:ascii="Calibri" w:hAnsi="Calibri" w:cs="Calibri"/>
                <w:sz w:val="22"/>
                <w:szCs w:val="22"/>
              </w:rPr>
              <w:t>Tom Biedscheid</w:t>
            </w:r>
            <w:r w:rsidRPr="0060097B">
              <w:rPr>
                <w:rFonts w:ascii="Calibri" w:hAnsi="Calibri" w:cs="Calibri"/>
                <w:sz w:val="22"/>
                <w:szCs w:val="22"/>
              </w:rPr>
              <w:tab/>
            </w:r>
            <w:r w:rsidRPr="0060097B">
              <w:rPr>
                <w:rFonts w:ascii="Calibri" w:hAnsi="Calibri" w:cs="Calibri"/>
                <w:sz w:val="22"/>
                <w:szCs w:val="22"/>
              </w:rPr>
              <w:tab/>
            </w:r>
            <w:r w:rsidRPr="0060097B">
              <w:rPr>
                <w:rFonts w:ascii="Calibri" w:hAnsi="Calibri" w:cs="Calibri"/>
                <w:sz w:val="22"/>
                <w:szCs w:val="22"/>
              </w:rPr>
              <w:tab/>
              <w:t>Colorado State University</w:t>
            </w:r>
          </w:p>
          <w:p w14:paraId="276A7A93" w14:textId="77777777" w:rsidR="00326F49" w:rsidRPr="0060097B" w:rsidRDefault="00326F49" w:rsidP="00D739D7">
            <w:pPr>
              <w:ind w:right="540"/>
              <w:rPr>
                <w:rFonts w:ascii="Calibri" w:hAnsi="Calibri" w:cs="Calibri"/>
                <w:sz w:val="22"/>
                <w:szCs w:val="22"/>
              </w:rPr>
            </w:pPr>
            <w:r w:rsidRPr="0060097B">
              <w:rPr>
                <w:rFonts w:ascii="Calibri" w:hAnsi="Calibri" w:cs="Calibri"/>
                <w:sz w:val="22"/>
                <w:szCs w:val="22"/>
              </w:rPr>
              <w:t>Maria Buck</w:t>
            </w:r>
            <w:r w:rsidRPr="0060097B">
              <w:rPr>
                <w:rFonts w:ascii="Calibri" w:hAnsi="Calibri" w:cs="Calibri"/>
                <w:sz w:val="22"/>
                <w:szCs w:val="22"/>
              </w:rPr>
              <w:tab/>
            </w:r>
            <w:r w:rsidRPr="0060097B">
              <w:rPr>
                <w:rFonts w:ascii="Calibri" w:hAnsi="Calibri" w:cs="Calibri"/>
                <w:sz w:val="22"/>
                <w:szCs w:val="22"/>
              </w:rPr>
              <w:tab/>
            </w:r>
            <w:r w:rsidRPr="0060097B">
              <w:rPr>
                <w:rFonts w:ascii="Calibri" w:hAnsi="Calibri" w:cs="Calibri"/>
                <w:sz w:val="22"/>
                <w:szCs w:val="22"/>
              </w:rPr>
              <w:tab/>
              <w:t>City University of New York (CUNY)</w:t>
            </w:r>
            <w:r w:rsidRPr="0060097B">
              <w:rPr>
                <w:rFonts w:ascii="Calibri" w:hAnsi="Calibri" w:cs="Calibri"/>
                <w:sz w:val="22"/>
                <w:szCs w:val="22"/>
              </w:rPr>
              <w:br/>
              <w:t>Omari Burnside</w:t>
            </w:r>
            <w:r w:rsidRPr="0060097B">
              <w:rPr>
                <w:rFonts w:ascii="Calibri" w:hAnsi="Calibri" w:cs="Calibri"/>
                <w:sz w:val="22"/>
                <w:szCs w:val="22"/>
              </w:rPr>
              <w:tab/>
            </w:r>
            <w:r w:rsidRPr="0060097B">
              <w:rPr>
                <w:rFonts w:ascii="Calibri" w:hAnsi="Calibri" w:cs="Calibri"/>
                <w:sz w:val="22"/>
                <w:szCs w:val="22"/>
              </w:rPr>
              <w:tab/>
              <w:t xml:space="preserve">    </w:t>
            </w:r>
            <w:r w:rsidRPr="0060097B">
              <w:rPr>
                <w:rFonts w:ascii="Calibri" w:hAnsi="Calibri" w:cs="Calibri"/>
                <w:sz w:val="22"/>
                <w:szCs w:val="22"/>
              </w:rPr>
              <w:tab/>
              <w:t>NASPA – Student Affairs Administrators in Higher Education</w:t>
            </w:r>
          </w:p>
          <w:p w14:paraId="3AED23E2" w14:textId="77777777" w:rsidR="00326F49" w:rsidRPr="0060097B" w:rsidRDefault="00326F49" w:rsidP="00D739D7">
            <w:pPr>
              <w:ind w:right="540"/>
              <w:rPr>
                <w:rFonts w:ascii="Calibri" w:hAnsi="Calibri" w:cs="Calibri"/>
                <w:sz w:val="22"/>
                <w:szCs w:val="22"/>
              </w:rPr>
            </w:pPr>
            <w:r w:rsidRPr="0060097B">
              <w:rPr>
                <w:rFonts w:ascii="Calibri" w:hAnsi="Calibri" w:cs="Calibri"/>
                <w:sz w:val="22"/>
                <w:szCs w:val="22"/>
              </w:rPr>
              <w:t>Diane Cheng</w:t>
            </w:r>
            <w:r w:rsidRPr="0060097B">
              <w:rPr>
                <w:rFonts w:ascii="Calibri" w:hAnsi="Calibri" w:cs="Calibri"/>
                <w:sz w:val="22"/>
                <w:szCs w:val="22"/>
              </w:rPr>
              <w:tab/>
            </w:r>
            <w:r w:rsidRPr="0060097B">
              <w:rPr>
                <w:rFonts w:ascii="Calibri" w:hAnsi="Calibri" w:cs="Calibri"/>
                <w:sz w:val="22"/>
                <w:szCs w:val="22"/>
              </w:rPr>
              <w:tab/>
            </w:r>
            <w:r w:rsidRPr="0060097B">
              <w:rPr>
                <w:rFonts w:ascii="Calibri" w:hAnsi="Calibri" w:cs="Calibri"/>
                <w:sz w:val="22"/>
                <w:szCs w:val="22"/>
              </w:rPr>
              <w:tab/>
              <w:t xml:space="preserve">Institute for Higher Education Policy </w:t>
            </w:r>
          </w:p>
          <w:p w14:paraId="36865DB5" w14:textId="67A9327D" w:rsidR="00326F49" w:rsidRPr="0060097B" w:rsidRDefault="00326F49" w:rsidP="00D739D7">
            <w:pPr>
              <w:ind w:right="540"/>
              <w:rPr>
                <w:rFonts w:ascii="Calibri" w:hAnsi="Calibri" w:cs="Calibri"/>
                <w:sz w:val="22"/>
                <w:szCs w:val="22"/>
              </w:rPr>
            </w:pPr>
            <w:r w:rsidRPr="0060097B">
              <w:rPr>
                <w:rFonts w:ascii="Calibri" w:hAnsi="Calibri" w:cs="Calibri"/>
                <w:sz w:val="22"/>
                <w:szCs w:val="22"/>
              </w:rPr>
              <w:t>David Croom</w:t>
            </w:r>
            <w:r w:rsidRPr="0060097B">
              <w:rPr>
                <w:rFonts w:ascii="Calibri" w:hAnsi="Calibri" w:cs="Calibri"/>
                <w:sz w:val="22"/>
                <w:szCs w:val="22"/>
              </w:rPr>
              <w:tab/>
            </w:r>
            <w:r w:rsidRPr="0060097B">
              <w:rPr>
                <w:rFonts w:ascii="Calibri" w:hAnsi="Calibri" w:cs="Calibri"/>
                <w:sz w:val="22"/>
                <w:szCs w:val="22"/>
              </w:rPr>
              <w:tab/>
            </w:r>
            <w:r w:rsidRPr="0060097B">
              <w:rPr>
                <w:rFonts w:ascii="Calibri" w:hAnsi="Calibri" w:cs="Calibri"/>
                <w:sz w:val="22"/>
                <w:szCs w:val="22"/>
              </w:rPr>
              <w:tab/>
            </w:r>
            <w:r w:rsidR="00764D85">
              <w:rPr>
                <w:rStyle w:val="normaltextrun"/>
                <w:rFonts w:ascii="Calibri" w:hAnsi="Calibri" w:cs="Calibri"/>
                <w:color w:val="000000"/>
                <w:sz w:val="22"/>
                <w:szCs w:val="22"/>
                <w:bdr w:val="none" w:sz="0" w:space="0" w:color="auto" w:frame="1"/>
              </w:rPr>
              <w:t>Ascend at the Aspen Institute</w:t>
            </w:r>
          </w:p>
          <w:p w14:paraId="5BC5C2F7" w14:textId="77777777" w:rsidR="00326F49" w:rsidRPr="0060097B" w:rsidRDefault="00326F49" w:rsidP="00D739D7">
            <w:pPr>
              <w:ind w:right="540"/>
              <w:rPr>
                <w:rFonts w:ascii="Calibri" w:hAnsi="Calibri" w:cs="Calibri"/>
                <w:sz w:val="22"/>
                <w:szCs w:val="22"/>
              </w:rPr>
            </w:pPr>
            <w:r w:rsidRPr="0060097B">
              <w:rPr>
                <w:rFonts w:ascii="Calibri" w:hAnsi="Calibri" w:cs="Calibri"/>
                <w:sz w:val="22"/>
                <w:szCs w:val="22"/>
              </w:rPr>
              <w:t>Rashida Crutchfield</w:t>
            </w:r>
            <w:r w:rsidRPr="0060097B">
              <w:rPr>
                <w:rFonts w:ascii="Calibri" w:hAnsi="Calibri" w:cs="Calibri"/>
                <w:sz w:val="22"/>
                <w:szCs w:val="22"/>
              </w:rPr>
              <w:tab/>
            </w:r>
            <w:r w:rsidRPr="0060097B">
              <w:rPr>
                <w:rFonts w:ascii="Calibri" w:hAnsi="Calibri" w:cs="Calibri"/>
                <w:sz w:val="22"/>
                <w:szCs w:val="22"/>
              </w:rPr>
              <w:tab/>
              <w:t>California State University, Long Beach</w:t>
            </w:r>
          </w:p>
          <w:p w14:paraId="20891B2C" w14:textId="77777777" w:rsidR="000C57C1" w:rsidRDefault="00326F49" w:rsidP="00D739D7">
            <w:pPr>
              <w:ind w:right="540"/>
              <w:rPr>
                <w:rFonts w:ascii="Calibri" w:hAnsi="Calibri" w:cs="Calibri"/>
                <w:sz w:val="22"/>
                <w:szCs w:val="22"/>
              </w:rPr>
            </w:pPr>
            <w:r w:rsidRPr="0060097B">
              <w:rPr>
                <w:rFonts w:ascii="Calibri" w:hAnsi="Calibri" w:cs="Calibri"/>
                <w:sz w:val="22"/>
                <w:szCs w:val="22"/>
              </w:rPr>
              <w:t>Amy Ellen Duke-Benfield</w:t>
            </w:r>
            <w:r w:rsidRPr="0060097B">
              <w:rPr>
                <w:rFonts w:ascii="Calibri" w:hAnsi="Calibri" w:cs="Calibri"/>
                <w:sz w:val="22"/>
                <w:szCs w:val="22"/>
              </w:rPr>
              <w:tab/>
            </w:r>
            <w:r w:rsidR="000C57C1">
              <w:rPr>
                <w:rStyle w:val="normaltextrun"/>
                <w:rFonts w:ascii="Calibri" w:hAnsi="Calibri" w:cs="Calibri"/>
                <w:color w:val="000000"/>
                <w:sz w:val="22"/>
                <w:szCs w:val="22"/>
                <w:bdr w:val="none" w:sz="0" w:space="0" w:color="auto" w:frame="1"/>
              </w:rPr>
              <w:t>Higher Learning Advocates</w:t>
            </w:r>
            <w:r w:rsidR="000C57C1" w:rsidRPr="0060097B">
              <w:rPr>
                <w:rFonts w:ascii="Calibri" w:hAnsi="Calibri" w:cs="Calibri"/>
                <w:sz w:val="22"/>
                <w:szCs w:val="22"/>
              </w:rPr>
              <w:t xml:space="preserve"> </w:t>
            </w:r>
          </w:p>
          <w:p w14:paraId="25399817" w14:textId="508F324A" w:rsidR="00764D85" w:rsidRDefault="00326F49" w:rsidP="00D739D7">
            <w:pPr>
              <w:ind w:right="540"/>
              <w:rPr>
                <w:rStyle w:val="normaltextrun"/>
                <w:rFonts w:ascii="Calibri" w:hAnsi="Calibri" w:cs="Calibri"/>
                <w:color w:val="000000"/>
                <w:sz w:val="22"/>
                <w:szCs w:val="22"/>
                <w:bdr w:val="none" w:sz="0" w:space="0" w:color="auto" w:frame="1"/>
              </w:rPr>
            </w:pPr>
            <w:r w:rsidRPr="0060097B">
              <w:rPr>
                <w:rFonts w:ascii="Calibri" w:hAnsi="Calibri" w:cs="Calibri"/>
                <w:sz w:val="22"/>
                <w:szCs w:val="22"/>
              </w:rPr>
              <w:t>Rachelle Feldman</w:t>
            </w:r>
            <w:r w:rsidRPr="0060097B">
              <w:rPr>
                <w:rFonts w:ascii="Calibri" w:hAnsi="Calibri" w:cs="Calibri"/>
                <w:sz w:val="22"/>
                <w:szCs w:val="22"/>
              </w:rPr>
              <w:tab/>
            </w:r>
            <w:r w:rsidRPr="0060097B">
              <w:rPr>
                <w:rFonts w:ascii="Calibri" w:hAnsi="Calibri" w:cs="Calibri"/>
                <w:sz w:val="22"/>
                <w:szCs w:val="22"/>
              </w:rPr>
              <w:tab/>
            </w:r>
            <w:r w:rsidR="00764D85">
              <w:rPr>
                <w:rStyle w:val="normaltextrun"/>
                <w:rFonts w:ascii="Calibri" w:hAnsi="Calibri" w:cs="Calibri"/>
                <w:color w:val="000000"/>
                <w:sz w:val="22"/>
                <w:szCs w:val="22"/>
                <w:bdr w:val="none" w:sz="0" w:space="0" w:color="auto" w:frame="1"/>
              </w:rPr>
              <w:t>University of North Carolina at Chapel Hill </w:t>
            </w:r>
          </w:p>
          <w:p w14:paraId="34D65995" w14:textId="377882AA" w:rsidR="00326F49" w:rsidRPr="0060097B" w:rsidRDefault="00326F49" w:rsidP="00D739D7">
            <w:pPr>
              <w:ind w:right="540"/>
              <w:rPr>
                <w:rFonts w:ascii="Calibri" w:hAnsi="Calibri" w:cs="Calibri"/>
                <w:sz w:val="22"/>
                <w:szCs w:val="22"/>
              </w:rPr>
            </w:pPr>
            <w:r w:rsidRPr="0060097B">
              <w:rPr>
                <w:rFonts w:ascii="Calibri" w:hAnsi="Calibri" w:cs="Calibri"/>
                <w:sz w:val="22"/>
                <w:szCs w:val="22"/>
              </w:rPr>
              <w:t>Angela Johnson</w:t>
            </w:r>
            <w:r w:rsidRPr="0060097B">
              <w:rPr>
                <w:rFonts w:ascii="Calibri" w:hAnsi="Calibri" w:cs="Calibri"/>
                <w:sz w:val="22"/>
                <w:szCs w:val="22"/>
              </w:rPr>
              <w:tab/>
            </w:r>
            <w:r w:rsidRPr="0060097B">
              <w:rPr>
                <w:rFonts w:ascii="Calibri" w:hAnsi="Calibri" w:cs="Calibri"/>
                <w:sz w:val="22"/>
                <w:szCs w:val="22"/>
              </w:rPr>
              <w:tab/>
            </w:r>
            <w:r w:rsidRPr="0060097B">
              <w:rPr>
                <w:rFonts w:ascii="Calibri" w:hAnsi="Calibri" w:cs="Calibri"/>
                <w:sz w:val="22"/>
                <w:szCs w:val="22"/>
              </w:rPr>
              <w:tab/>
              <w:t>Cuyahoga Community College</w:t>
            </w:r>
          </w:p>
          <w:p w14:paraId="09EB15E7" w14:textId="77777777" w:rsidR="0088373F" w:rsidRDefault="00326F49" w:rsidP="00D739D7">
            <w:pPr>
              <w:ind w:right="540"/>
              <w:rPr>
                <w:rFonts w:ascii="Calibri" w:hAnsi="Calibri" w:cs="Calibri"/>
                <w:sz w:val="22"/>
                <w:szCs w:val="22"/>
              </w:rPr>
            </w:pPr>
            <w:r w:rsidRPr="0060097B">
              <w:rPr>
                <w:rFonts w:ascii="Calibri" w:hAnsi="Calibri" w:cs="Calibri"/>
                <w:sz w:val="22"/>
                <w:szCs w:val="22"/>
              </w:rPr>
              <w:t>Precious Miller</w:t>
            </w:r>
            <w:r w:rsidRPr="0060097B">
              <w:rPr>
                <w:rFonts w:ascii="Calibri" w:hAnsi="Calibri" w:cs="Calibri"/>
                <w:sz w:val="22"/>
                <w:szCs w:val="22"/>
              </w:rPr>
              <w:tab/>
            </w:r>
            <w:r w:rsidRPr="0060097B">
              <w:rPr>
                <w:rFonts w:ascii="Calibri" w:hAnsi="Calibri" w:cs="Calibri"/>
                <w:sz w:val="22"/>
                <w:szCs w:val="22"/>
              </w:rPr>
              <w:tab/>
            </w:r>
            <w:r w:rsidRPr="0060097B">
              <w:rPr>
                <w:rFonts w:ascii="Calibri" w:hAnsi="Calibri" w:cs="Calibri"/>
                <w:sz w:val="22"/>
                <w:szCs w:val="22"/>
              </w:rPr>
              <w:tab/>
              <w:t>Michigan Community College Association</w:t>
            </w:r>
          </w:p>
          <w:p w14:paraId="1E3789A4" w14:textId="64EDE291" w:rsidR="00326F49" w:rsidRDefault="0088373F" w:rsidP="00D739D7">
            <w:pPr>
              <w:ind w:right="540"/>
              <w:rPr>
                <w:rFonts w:ascii="Calibri" w:hAnsi="Calibri" w:cs="Calibri"/>
                <w:sz w:val="22"/>
                <w:szCs w:val="22"/>
              </w:rPr>
            </w:pPr>
            <w:r w:rsidRPr="0088373F">
              <w:rPr>
                <w:rFonts w:ascii="Calibri" w:hAnsi="Calibri" w:cs="Calibri"/>
                <w:sz w:val="22"/>
                <w:szCs w:val="22"/>
              </w:rPr>
              <w:t>Mary Utter</w:t>
            </w:r>
            <w:r>
              <w:rPr>
                <w:rFonts w:ascii="Calibri" w:hAnsi="Calibri" w:cs="Calibri"/>
                <w:sz w:val="22"/>
                <w:szCs w:val="22"/>
              </w:rPr>
              <w:t xml:space="preserve">                                      </w:t>
            </w:r>
            <w:r w:rsidRPr="0088373F">
              <w:rPr>
                <w:rFonts w:ascii="Calibri" w:hAnsi="Calibri" w:cs="Calibri"/>
                <w:sz w:val="22"/>
                <w:szCs w:val="22"/>
              </w:rPr>
              <w:t>Community College of Allegheny County</w:t>
            </w:r>
            <w:r w:rsidR="00326F49" w:rsidRPr="0060097B">
              <w:rPr>
                <w:rFonts w:ascii="Calibri" w:hAnsi="Calibri" w:cs="Calibri"/>
                <w:sz w:val="22"/>
                <w:szCs w:val="22"/>
              </w:rPr>
              <w:t xml:space="preserve"> </w:t>
            </w:r>
          </w:p>
          <w:p w14:paraId="41A7680D" w14:textId="77777777" w:rsidR="00AB7E9C" w:rsidRDefault="00AB7E9C" w:rsidP="00D739D7">
            <w:pPr>
              <w:ind w:right="540"/>
              <w:rPr>
                <w:rFonts w:ascii="Calibri" w:hAnsi="Calibri" w:cs="Calibri"/>
                <w:sz w:val="22"/>
                <w:szCs w:val="22"/>
              </w:rPr>
            </w:pPr>
          </w:p>
          <w:p w14:paraId="07098692" w14:textId="77777777" w:rsidR="00AB7E9C" w:rsidRDefault="00AB7E9C" w:rsidP="00AB7E9C">
            <w:pPr>
              <w:ind w:right="540"/>
              <w:rPr>
                <w:rFonts w:ascii="Calibri" w:hAnsi="Calibri" w:cs="Calibri"/>
                <w:b/>
                <w:color w:val="152E5F"/>
              </w:rPr>
            </w:pPr>
          </w:p>
          <w:p w14:paraId="137C3781" w14:textId="77777777" w:rsidR="00AB7E9C" w:rsidRDefault="00AB7E9C" w:rsidP="00AB7E9C">
            <w:pPr>
              <w:spacing w:before="240"/>
              <w:ind w:left="2867" w:right="540"/>
              <w:rPr>
                <w:rFonts w:cstheme="minorHAnsi"/>
                <w:i/>
                <w:iCs/>
                <w:color w:val="3A4255"/>
                <w:sz w:val="22"/>
                <w:szCs w:val="22"/>
              </w:rPr>
            </w:pPr>
            <w:r w:rsidRPr="003B02FC">
              <w:rPr>
                <w:rFonts w:ascii="Calibri" w:hAnsi="Calibri" w:cs="Calibri"/>
                <w:b/>
                <w:noProof/>
                <w:color w:val="152E5F"/>
                <w:sz w:val="32"/>
                <w:szCs w:val="32"/>
              </w:rPr>
              <w:drawing>
                <wp:anchor distT="0" distB="0" distL="114300" distR="114300" simplePos="0" relativeHeight="251669505" behindDoc="0" locked="0" layoutInCell="1" allowOverlap="1" wp14:anchorId="2BAE0D39" wp14:editId="4F3E0DF6">
                  <wp:simplePos x="0" y="0"/>
                  <wp:positionH relativeFrom="column">
                    <wp:posOffset>1270</wp:posOffset>
                  </wp:positionH>
                  <wp:positionV relativeFrom="paragraph">
                    <wp:posOffset>7620</wp:posOffset>
                  </wp:positionV>
                  <wp:extent cx="1438910" cy="532765"/>
                  <wp:effectExtent l="0" t="0" r="0" b="635"/>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8910" cy="532765"/>
                          </a:xfrm>
                          <a:prstGeom prst="rect">
                            <a:avLst/>
                          </a:prstGeom>
                        </pic:spPr>
                      </pic:pic>
                    </a:graphicData>
                  </a:graphic>
                  <wp14:sizeRelH relativeFrom="page">
                    <wp14:pctWidth>0</wp14:pctWidth>
                  </wp14:sizeRelH>
                  <wp14:sizeRelV relativeFrom="page">
                    <wp14:pctHeight>0</wp14:pctHeight>
                  </wp14:sizeRelV>
                </wp:anchor>
              </w:drawing>
            </w:r>
            <w:r w:rsidRPr="003B02FC">
              <w:rPr>
                <w:rFonts w:cstheme="minorHAnsi"/>
                <w:i/>
                <w:iCs/>
                <w:color w:val="3A4255"/>
                <w:sz w:val="22"/>
                <w:szCs w:val="22"/>
              </w:rPr>
              <w:t xml:space="preserve">This project was made possible with </w:t>
            </w:r>
          </w:p>
          <w:p w14:paraId="1F6A06A3" w14:textId="77777777" w:rsidR="00AB7E9C" w:rsidRPr="003B02FC" w:rsidRDefault="00AB7E9C" w:rsidP="00AB7E9C">
            <w:pPr>
              <w:ind w:left="2867" w:right="540"/>
              <w:rPr>
                <w:rFonts w:cstheme="minorHAnsi"/>
                <w:i/>
                <w:iCs/>
                <w:color w:val="3A4255"/>
                <w:sz w:val="22"/>
                <w:szCs w:val="22"/>
              </w:rPr>
            </w:pPr>
            <w:r w:rsidRPr="003B02FC">
              <w:rPr>
                <w:rFonts w:cstheme="minorHAnsi"/>
                <w:i/>
                <w:iCs/>
                <w:color w:val="3A4255"/>
                <w:sz w:val="22"/>
                <w:szCs w:val="22"/>
              </w:rPr>
              <w:t>support from Comcast NBCUniversal</w:t>
            </w:r>
          </w:p>
          <w:p w14:paraId="418D6C96" w14:textId="77777777" w:rsidR="00AB7E9C" w:rsidRDefault="00AB7E9C" w:rsidP="00AB7E9C">
            <w:pPr>
              <w:ind w:right="540"/>
              <w:rPr>
                <w:rFonts w:ascii="Calibri" w:hAnsi="Calibri" w:cs="Calibri"/>
                <w:b/>
                <w:color w:val="152E5F"/>
              </w:rPr>
            </w:pPr>
          </w:p>
          <w:p w14:paraId="5F2E1C88" w14:textId="77777777" w:rsidR="00AB7E9C" w:rsidRPr="0060097B" w:rsidRDefault="00AB7E9C" w:rsidP="00D739D7">
            <w:pPr>
              <w:ind w:right="540"/>
              <w:rPr>
                <w:rFonts w:ascii="Calibri" w:hAnsi="Calibri" w:cs="Calibri"/>
                <w:sz w:val="22"/>
                <w:szCs w:val="22"/>
              </w:rPr>
            </w:pPr>
          </w:p>
          <w:p w14:paraId="53A80A41" w14:textId="77777777" w:rsidR="00326F49" w:rsidRPr="0060097B" w:rsidRDefault="00326F49" w:rsidP="00D739D7">
            <w:pPr>
              <w:ind w:right="540"/>
              <w:rPr>
                <w:rFonts w:ascii="Calibri" w:hAnsi="Calibri" w:cs="Calibri"/>
                <w:b/>
                <w:bCs/>
                <w:sz w:val="22"/>
                <w:szCs w:val="22"/>
                <w:highlight w:val="yellow"/>
              </w:rPr>
            </w:pPr>
          </w:p>
          <w:p w14:paraId="709E49DC" w14:textId="77777777" w:rsidR="00326F49" w:rsidRPr="005E27C8" w:rsidRDefault="00326F49" w:rsidP="00764D85">
            <w:pPr>
              <w:spacing w:after="80"/>
              <w:ind w:right="547"/>
              <w:rPr>
                <w:rFonts w:ascii="Calibri" w:hAnsi="Calibri" w:cs="Calibri"/>
                <w:b/>
                <w:bCs/>
                <w:color w:val="152E5F"/>
              </w:rPr>
            </w:pPr>
            <w:r w:rsidRPr="005E27C8">
              <w:rPr>
                <w:rFonts w:ascii="Calibri" w:hAnsi="Calibri" w:cs="Calibri"/>
                <w:b/>
                <w:bCs/>
                <w:color w:val="152E5F"/>
              </w:rPr>
              <w:t>About Benefits Data Trust</w:t>
            </w:r>
          </w:p>
          <w:p w14:paraId="03846C7E" w14:textId="77777777" w:rsidR="00326F49" w:rsidRPr="0060097B" w:rsidRDefault="00326F49" w:rsidP="00D739D7">
            <w:pPr>
              <w:ind w:right="540"/>
              <w:rPr>
                <w:rStyle w:val="normaltextrun"/>
                <w:rFonts w:ascii="Calibri" w:hAnsi="Calibri" w:cs="Calibri"/>
                <w:color w:val="000000"/>
                <w:sz w:val="22"/>
                <w:szCs w:val="22"/>
                <w:shd w:val="clear" w:color="auto" w:fill="FFFFFF"/>
              </w:rPr>
            </w:pPr>
            <w:r w:rsidRPr="0060097B">
              <w:rPr>
                <w:rStyle w:val="normaltextrun"/>
                <w:rFonts w:ascii="Calibri" w:hAnsi="Calibri" w:cs="Calibri"/>
                <w:color w:val="000000"/>
                <w:sz w:val="22"/>
                <w:szCs w:val="22"/>
                <w:shd w:val="clear" w:color="auto" w:fill="FFFFFF"/>
              </w:rPr>
              <w:t>Benefits Data Trust (BDT) is a nonprofit organization dedicated to improving health and financial security by harnessing the power of data, technology, and policy to provide dignified and equitable access to assistance. Together with a national network of government agencies and partners, we efficiently connect people today to programs that pay for food, healthcare, and more while helping to modernize benefits access for tomorrow. Since 2005, BDT has secured more than $9 billion in benefits for households across the country, helping to reduce hunger and poverty and build pathways to economic mobility. Learn more at bdtrust.org.</w:t>
            </w:r>
          </w:p>
          <w:p w14:paraId="0A42E316" w14:textId="77777777" w:rsidR="00326F49" w:rsidRPr="0060097B" w:rsidRDefault="00326F49" w:rsidP="00D739D7">
            <w:pPr>
              <w:ind w:right="540"/>
              <w:rPr>
                <w:rStyle w:val="normaltextrun"/>
                <w:rFonts w:ascii="Calibri" w:hAnsi="Calibri" w:cs="Calibri"/>
                <w:color w:val="000000"/>
                <w:sz w:val="22"/>
                <w:szCs w:val="22"/>
                <w:shd w:val="clear" w:color="auto" w:fill="FFFFFF"/>
              </w:rPr>
            </w:pPr>
          </w:p>
          <w:p w14:paraId="406B56E8" w14:textId="77777777" w:rsidR="0002380E" w:rsidRDefault="00326F49" w:rsidP="00511FE9">
            <w:pPr>
              <w:ind w:right="540"/>
              <w:rPr>
                <w:rStyle w:val="normaltextrun"/>
                <w:rFonts w:ascii="Calibri" w:hAnsi="Calibri" w:cs="Calibri"/>
                <w:color w:val="000000"/>
                <w:sz w:val="22"/>
                <w:szCs w:val="22"/>
                <w:shd w:val="clear" w:color="auto" w:fill="FFFFFF"/>
              </w:rPr>
            </w:pPr>
            <w:r w:rsidRPr="0060097B">
              <w:rPr>
                <w:rStyle w:val="normaltextrun"/>
                <w:rFonts w:ascii="Calibri" w:hAnsi="Calibri" w:cs="Calibri"/>
                <w:color w:val="000000"/>
                <w:sz w:val="22"/>
                <w:szCs w:val="22"/>
                <w:shd w:val="clear" w:color="auto" w:fill="FFFFFF"/>
              </w:rPr>
              <w:t>Benefits Data Trust</w:t>
            </w:r>
            <w:r w:rsidR="0088373F">
              <w:rPr>
                <w:rStyle w:val="normaltextrun"/>
                <w:rFonts w:ascii="Calibri" w:hAnsi="Calibri" w:cs="Calibri"/>
                <w:color w:val="000000"/>
                <w:sz w:val="22"/>
                <w:szCs w:val="22"/>
                <w:shd w:val="clear" w:color="auto" w:fill="FFFFFF"/>
              </w:rPr>
              <w:t>’s</w:t>
            </w:r>
            <w:r w:rsidRPr="0060097B">
              <w:rPr>
                <w:rStyle w:val="normaltextrun"/>
                <w:rFonts w:ascii="Calibri" w:hAnsi="Calibri" w:cs="Calibri"/>
                <w:color w:val="000000"/>
                <w:sz w:val="22"/>
                <w:szCs w:val="22"/>
                <w:shd w:val="clear" w:color="auto" w:fill="FFFFFF"/>
              </w:rPr>
              <w:t xml:space="preserve"> higher education practice supports student access and success by improving student connection to financial aid and public benefits through direct service and technology, technical assistance, and policy. Learn more about our work in higher education </w:t>
            </w:r>
            <w:hyperlink r:id="rId25" w:history="1">
              <w:r w:rsidRPr="0060097B">
                <w:rPr>
                  <w:rStyle w:val="Hyperlink"/>
                  <w:rFonts w:ascii="Calibri" w:hAnsi="Calibri" w:cs="Calibri"/>
                  <w:sz w:val="22"/>
                  <w:szCs w:val="22"/>
                  <w:shd w:val="clear" w:color="auto" w:fill="FFFFFF"/>
                </w:rPr>
                <w:t>here</w:t>
              </w:r>
            </w:hyperlink>
            <w:r w:rsidRPr="0060097B">
              <w:rPr>
                <w:rStyle w:val="normaltextrun"/>
                <w:rFonts w:ascii="Calibri" w:hAnsi="Calibri" w:cs="Calibri"/>
                <w:color w:val="000000"/>
                <w:sz w:val="22"/>
                <w:szCs w:val="22"/>
                <w:shd w:val="clear" w:color="auto" w:fill="FFFFFF"/>
              </w:rPr>
              <w:t>.</w:t>
            </w:r>
          </w:p>
          <w:p w14:paraId="5135B433" w14:textId="70F1D347" w:rsidR="00764D85" w:rsidRPr="00511FE9" w:rsidRDefault="00764D85" w:rsidP="00511FE9">
            <w:pPr>
              <w:ind w:right="540"/>
              <w:rPr>
                <w:rFonts w:ascii="Calibri" w:hAnsi="Calibri" w:cs="Calibri"/>
                <w:b/>
                <w:bCs/>
                <w:sz w:val="22"/>
                <w:szCs w:val="22"/>
              </w:rPr>
            </w:pPr>
          </w:p>
        </w:tc>
      </w:tr>
    </w:tbl>
    <w:p w14:paraId="222C4BA0" w14:textId="77777777" w:rsidR="0045749F" w:rsidRDefault="0045749F" w:rsidP="00D739D7">
      <w:pPr>
        <w:ind w:right="540"/>
        <w:rPr>
          <w:rFonts w:ascii="Calibri" w:hAnsi="Calibri" w:cs="Calibri"/>
          <w:b/>
          <w:bCs/>
          <w:sz w:val="22"/>
          <w:szCs w:val="22"/>
        </w:rPr>
      </w:pPr>
    </w:p>
    <w:tbl>
      <w:tblPr>
        <w:tblStyle w:val="TableGrid"/>
        <w:tblW w:w="10970" w:type="dxa"/>
        <w:tblInd w:w="-90" w:type="dxa"/>
        <w:tblLayout w:type="fixed"/>
        <w:tblLook w:val="04A0" w:firstRow="1" w:lastRow="0" w:firstColumn="1" w:lastColumn="0" w:noHBand="0" w:noVBand="1"/>
      </w:tblPr>
      <w:tblGrid>
        <w:gridCol w:w="900"/>
        <w:gridCol w:w="10070"/>
      </w:tblGrid>
      <w:tr w:rsidR="005E27C8" w14:paraId="3EB8BC26" w14:textId="77777777" w:rsidTr="0005775D">
        <w:trPr>
          <w:trHeight w:val="846"/>
        </w:trPr>
        <w:tc>
          <w:tcPr>
            <w:tcW w:w="900" w:type="dxa"/>
            <w:tcBorders>
              <w:top w:val="nil"/>
              <w:left w:val="nil"/>
              <w:bottom w:val="nil"/>
              <w:right w:val="nil"/>
            </w:tcBorders>
          </w:tcPr>
          <w:p w14:paraId="000AC642" w14:textId="2F8A09BB" w:rsidR="005E27C8" w:rsidRDefault="004E696C" w:rsidP="00D739D7">
            <w:pPr>
              <w:spacing w:line="320" w:lineRule="auto"/>
              <w:ind w:right="540"/>
              <w:rPr>
                <w:sz w:val="32"/>
                <w:szCs w:val="32"/>
              </w:rPr>
            </w:pPr>
            <w:r>
              <w:rPr>
                <w:noProof/>
              </w:rPr>
              <w:drawing>
                <wp:inline distT="0" distB="0" distL="0" distR="0" wp14:anchorId="5DA40813" wp14:editId="61C25C45">
                  <wp:extent cx="489585" cy="489585"/>
                  <wp:effectExtent l="0" t="0" r="5715" b="5715"/>
                  <wp:docPr id="15" name="Picture 1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22382" cy="522382"/>
                          </a:xfrm>
                          <a:prstGeom prst="rect">
                            <a:avLst/>
                          </a:prstGeom>
                        </pic:spPr>
                      </pic:pic>
                    </a:graphicData>
                  </a:graphic>
                </wp:inline>
              </w:drawing>
            </w:r>
          </w:p>
        </w:tc>
        <w:tc>
          <w:tcPr>
            <w:tcW w:w="10070" w:type="dxa"/>
            <w:tcBorders>
              <w:top w:val="nil"/>
              <w:left w:val="nil"/>
              <w:bottom w:val="nil"/>
              <w:right w:val="nil"/>
            </w:tcBorders>
            <w:vAlign w:val="center"/>
          </w:tcPr>
          <w:p w14:paraId="38647C29" w14:textId="39F29B06" w:rsidR="005E27C8" w:rsidRPr="00A018DA" w:rsidRDefault="005E27C8" w:rsidP="00D739D7">
            <w:pPr>
              <w:spacing w:before="160" w:line="319" w:lineRule="auto"/>
              <w:ind w:right="540"/>
              <w:rPr>
                <w:rStyle w:val="normaltextrun"/>
                <w:rFonts w:eastAsia="Times New Roman" w:cstheme="minorHAnsi"/>
                <w:b/>
                <w:bCs/>
                <w:color w:val="3399E1"/>
                <w:sz w:val="32"/>
                <w:szCs w:val="32"/>
                <w:shd w:val="clear" w:color="auto" w:fill="FFFFFF"/>
              </w:rPr>
            </w:pPr>
            <w:r>
              <w:rPr>
                <w:rFonts w:eastAsia="Times New Roman" w:cstheme="minorHAnsi"/>
                <w:b/>
                <w:bCs/>
                <w:color w:val="3399E1"/>
                <w:sz w:val="32"/>
                <w:szCs w:val="32"/>
                <w:shd w:val="clear" w:color="auto" w:fill="FFFFFF"/>
              </w:rPr>
              <w:t>Additional Resources</w:t>
            </w:r>
          </w:p>
          <w:p w14:paraId="3E158AD9" w14:textId="77777777" w:rsidR="005E27C8" w:rsidRPr="0060097B" w:rsidRDefault="005E27C8" w:rsidP="00511FE9">
            <w:pPr>
              <w:pStyle w:val="ListParagraph"/>
              <w:numPr>
                <w:ilvl w:val="0"/>
                <w:numId w:val="2"/>
              </w:numPr>
              <w:spacing w:after="0" w:line="240" w:lineRule="auto"/>
              <w:ind w:left="436" w:right="540" w:hanging="284"/>
              <w:rPr>
                <w:rFonts w:ascii="Calibri" w:hAnsi="Calibri" w:cs="Calibri"/>
              </w:rPr>
            </w:pPr>
            <w:r w:rsidRPr="0060097B">
              <w:rPr>
                <w:rFonts w:ascii="Calibri" w:hAnsi="Calibri" w:cs="Calibri"/>
              </w:rPr>
              <w:t xml:space="preserve">For more about BDT’s higher education work: </w:t>
            </w:r>
            <w:hyperlink r:id="rId27" w:history="1">
              <w:r w:rsidRPr="0060097B">
                <w:rPr>
                  <w:rStyle w:val="Hyperlink"/>
                  <w:rFonts w:ascii="Calibri" w:hAnsi="Calibri" w:cs="Calibri"/>
                  <w:i/>
                  <w:iCs/>
                </w:rPr>
                <w:t>Securing Basic Needs for College Students</w:t>
              </w:r>
            </w:hyperlink>
            <w:r w:rsidRPr="0060097B">
              <w:rPr>
                <w:rFonts w:ascii="Calibri" w:hAnsi="Calibri" w:cs="Calibri"/>
                <w:i/>
                <w:iCs/>
              </w:rPr>
              <w:t xml:space="preserve"> </w:t>
            </w:r>
          </w:p>
          <w:p w14:paraId="5B7C6F36" w14:textId="5FEE77BB" w:rsidR="005E27C8" w:rsidRPr="0060097B" w:rsidRDefault="005E27C8" w:rsidP="00511FE9">
            <w:pPr>
              <w:pStyle w:val="ListParagraph"/>
              <w:numPr>
                <w:ilvl w:val="0"/>
                <w:numId w:val="2"/>
              </w:numPr>
              <w:spacing w:after="0" w:line="240" w:lineRule="auto"/>
              <w:ind w:left="436" w:right="540" w:hanging="284"/>
              <w:rPr>
                <w:rFonts w:ascii="Calibri" w:hAnsi="Calibri" w:cs="Calibri"/>
              </w:rPr>
            </w:pPr>
            <w:r w:rsidRPr="0060097B">
              <w:rPr>
                <w:rFonts w:ascii="Calibri" w:hAnsi="Calibri" w:cs="Calibri"/>
              </w:rPr>
              <w:t>B</w:t>
            </w:r>
            <w:r w:rsidR="0088373F">
              <w:rPr>
                <w:rFonts w:ascii="Calibri" w:hAnsi="Calibri" w:cs="Calibri"/>
              </w:rPr>
              <w:t>DT</w:t>
            </w:r>
            <w:r w:rsidRPr="0060097B">
              <w:rPr>
                <w:rFonts w:ascii="Calibri" w:hAnsi="Calibri" w:cs="Calibri"/>
              </w:rPr>
              <w:t xml:space="preserve">’s 2023 </w:t>
            </w:r>
            <w:hyperlink r:id="rId28" w:history="1">
              <w:r w:rsidRPr="0060097B">
                <w:rPr>
                  <w:rStyle w:val="Hyperlink"/>
                  <w:rFonts w:ascii="Calibri" w:hAnsi="Calibri" w:cs="Calibri"/>
                  <w:i/>
                  <w:iCs/>
                </w:rPr>
                <w:t>Data Sharing Agreement Playbook</w:t>
              </w:r>
            </w:hyperlink>
          </w:p>
          <w:p w14:paraId="4FC3564A" w14:textId="77777777" w:rsidR="005E27C8" w:rsidRPr="0060097B" w:rsidRDefault="005E27C8" w:rsidP="00511FE9">
            <w:pPr>
              <w:pStyle w:val="ListParagraph"/>
              <w:numPr>
                <w:ilvl w:val="0"/>
                <w:numId w:val="2"/>
              </w:numPr>
              <w:spacing w:after="0" w:line="240" w:lineRule="auto"/>
              <w:ind w:left="436" w:right="540" w:hanging="284"/>
              <w:rPr>
                <w:rFonts w:ascii="Calibri" w:hAnsi="Calibri" w:cs="Calibri"/>
              </w:rPr>
            </w:pPr>
            <w:r w:rsidRPr="0060097B">
              <w:rPr>
                <w:rFonts w:ascii="Calibri" w:hAnsi="Calibri" w:cs="Calibri"/>
              </w:rPr>
              <w:t xml:space="preserve">United States Government Accountability Office 2019 report: </w:t>
            </w:r>
            <w:hyperlink r:id="rId29" w:history="1">
              <w:r w:rsidRPr="0060097B">
                <w:rPr>
                  <w:rStyle w:val="Hyperlink"/>
                  <w:rFonts w:ascii="Calibri" w:hAnsi="Calibri" w:cs="Calibri"/>
                  <w:i/>
                  <w:iCs/>
                </w:rPr>
                <w:t>Food Insecurity: Better Information Could Help Eligible College Students Access Federal Food Assistance Benefits</w:t>
              </w:r>
            </w:hyperlink>
            <w:r w:rsidRPr="0060097B">
              <w:rPr>
                <w:rFonts w:ascii="Calibri" w:hAnsi="Calibri" w:cs="Calibri"/>
              </w:rPr>
              <w:t xml:space="preserve"> </w:t>
            </w:r>
          </w:p>
          <w:p w14:paraId="13D22F66" w14:textId="77777777" w:rsidR="005E27C8" w:rsidRPr="0060097B" w:rsidRDefault="005E27C8" w:rsidP="00511FE9">
            <w:pPr>
              <w:pStyle w:val="ListParagraph"/>
              <w:numPr>
                <w:ilvl w:val="0"/>
                <w:numId w:val="2"/>
              </w:numPr>
              <w:spacing w:after="0" w:line="240" w:lineRule="auto"/>
              <w:ind w:left="436" w:right="540" w:hanging="284"/>
              <w:rPr>
                <w:rFonts w:ascii="Calibri" w:hAnsi="Calibri" w:cs="Calibri"/>
              </w:rPr>
            </w:pPr>
            <w:r w:rsidRPr="0060097B">
              <w:rPr>
                <w:rFonts w:ascii="Calibri" w:hAnsi="Calibri" w:cs="Calibri"/>
              </w:rPr>
              <w:t xml:space="preserve">January 2022 US Department of Education Dear Colleague Letter: </w:t>
            </w:r>
            <w:hyperlink r:id="rId30" w:history="1">
              <w:r w:rsidRPr="0060097B">
                <w:rPr>
                  <w:rStyle w:val="Hyperlink"/>
                  <w:rFonts w:ascii="Calibri" w:hAnsi="Calibri" w:cs="Calibri"/>
                  <w:i/>
                  <w:iCs/>
                </w:rPr>
                <w:t>Use of FAFSA Data to Administer Federal Programs</w:t>
              </w:r>
            </w:hyperlink>
          </w:p>
          <w:p w14:paraId="01711FB8" w14:textId="77777777" w:rsidR="005E27C8" w:rsidRPr="0060097B" w:rsidRDefault="005E27C8" w:rsidP="00511FE9">
            <w:pPr>
              <w:pStyle w:val="ListParagraph"/>
              <w:numPr>
                <w:ilvl w:val="0"/>
                <w:numId w:val="2"/>
              </w:numPr>
              <w:spacing w:after="0" w:line="240" w:lineRule="auto"/>
              <w:ind w:left="436" w:right="540" w:hanging="284"/>
              <w:rPr>
                <w:rStyle w:val="Hyperlink"/>
                <w:rFonts w:ascii="Calibri" w:hAnsi="Calibri" w:cs="Calibri"/>
              </w:rPr>
            </w:pPr>
            <w:r w:rsidRPr="0060097B">
              <w:rPr>
                <w:rFonts w:ascii="Calibri" w:hAnsi="Calibri" w:cs="Calibri"/>
              </w:rPr>
              <w:t xml:space="preserve">Center for Postsecondary and Economic Success at CLASP 2016: </w:t>
            </w:r>
            <w:hyperlink r:id="rId31">
              <w:r w:rsidRPr="0060097B">
                <w:rPr>
                  <w:rStyle w:val="Hyperlink"/>
                  <w:rFonts w:ascii="Calibri" w:hAnsi="Calibri" w:cs="Calibri"/>
                  <w:i/>
                  <w:iCs/>
                </w:rPr>
                <w:t>Benefits Access for College Completion: Lessons Learned from a Community College Initiative to Help Low-Income Students</w:t>
              </w:r>
            </w:hyperlink>
          </w:p>
          <w:p w14:paraId="01FC14DB" w14:textId="77777777" w:rsidR="005E27C8" w:rsidRPr="009D2771" w:rsidRDefault="005E27C8" w:rsidP="00D739D7">
            <w:pPr>
              <w:pStyle w:val="paragraph"/>
              <w:spacing w:before="0" w:beforeAutospacing="0" w:after="80" w:afterAutospacing="0" w:line="276" w:lineRule="auto"/>
              <w:ind w:right="540"/>
              <w:textAlignment w:val="baseline"/>
              <w:rPr>
                <w:rFonts w:ascii="Calibri" w:hAnsi="Calibri" w:cs="Calibri"/>
                <w:color w:val="000000"/>
                <w:sz w:val="22"/>
                <w:szCs w:val="22"/>
              </w:rPr>
            </w:pPr>
          </w:p>
        </w:tc>
      </w:tr>
    </w:tbl>
    <w:p w14:paraId="16FE8952" w14:textId="7CB6CF6C" w:rsidR="00441C4F" w:rsidRDefault="00441C4F" w:rsidP="00D739D7">
      <w:pPr>
        <w:ind w:right="540"/>
        <w:rPr>
          <w:rStyle w:val="normaltextrun"/>
          <w:rFonts w:ascii="Calibri" w:hAnsi="Calibri"/>
          <w:color w:val="262626" w:themeColor="text1" w:themeTint="D9"/>
          <w:sz w:val="22"/>
          <w:szCs w:val="22"/>
        </w:rPr>
      </w:pPr>
    </w:p>
    <w:sectPr w:rsidR="00441C4F" w:rsidSect="00EE1A41">
      <w:headerReference w:type="default" r:id="rId32"/>
      <w:footerReference w:type="default" r:id="rId33"/>
      <w:footerReference w:type="first" r:id="rId3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4420" w14:textId="77777777" w:rsidR="00410620" w:rsidRDefault="00410620" w:rsidP="00BC71EC">
      <w:r>
        <w:separator/>
      </w:r>
    </w:p>
  </w:endnote>
  <w:endnote w:type="continuationSeparator" w:id="0">
    <w:p w14:paraId="7A4E5B84" w14:textId="77777777" w:rsidR="00410620" w:rsidRDefault="00410620" w:rsidP="00BC71EC">
      <w:r>
        <w:continuationSeparator/>
      </w:r>
    </w:p>
  </w:endnote>
  <w:endnote w:type="continuationNotice" w:id="1">
    <w:p w14:paraId="17ED1C0A" w14:textId="77777777" w:rsidR="00410620" w:rsidRDefault="00410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yriad Pro">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7266" w14:textId="4F9FA0F4" w:rsidR="00511FE9" w:rsidRPr="003B02FC" w:rsidRDefault="0071274C" w:rsidP="00511FE9">
    <w:pPr>
      <w:pStyle w:val="Footer"/>
      <w:tabs>
        <w:tab w:val="clear" w:pos="4680"/>
        <w:tab w:val="clear" w:pos="9360"/>
        <w:tab w:val="right" w:pos="14310"/>
      </w:tabs>
      <w:rPr>
        <w:rFonts w:ascii="Calibri" w:hAnsi="Calibri" w:cs="Calibri"/>
        <w:color w:val="404040" w:themeColor="text1" w:themeTint="BF"/>
        <w:sz w:val="20"/>
        <w:szCs w:val="20"/>
      </w:rPr>
    </w:pPr>
    <w:hyperlink r:id="rId1" w:history="1">
      <w:r w:rsidR="00511FE9" w:rsidRPr="003B02FC">
        <w:rPr>
          <w:rStyle w:val="Hyperlink"/>
          <w:rFonts w:ascii="Calibri" w:hAnsi="Calibri" w:cs="Calibri"/>
          <w:color w:val="404040" w:themeColor="text1" w:themeTint="BF"/>
          <w:sz w:val="20"/>
          <w:szCs w:val="20"/>
          <w:u w:val="none"/>
        </w:rPr>
        <w:t xml:space="preserve">bdtrust.org </w:t>
      </w:r>
    </w:hyperlink>
    <w:r w:rsidR="00511FE9" w:rsidRPr="003B02FC">
      <w:rPr>
        <w:rFonts w:ascii="Calibri" w:hAnsi="Calibri" w:cs="Calibri"/>
        <w:color w:val="404040" w:themeColor="text1" w:themeTint="BF"/>
        <w:sz w:val="20"/>
        <w:szCs w:val="20"/>
      </w:rPr>
      <w:t xml:space="preserve"> </w:t>
    </w:r>
    <w:proofErr w:type="gramStart"/>
    <w:r w:rsidR="00511FE9" w:rsidRPr="003B02FC">
      <w:rPr>
        <w:rFonts w:ascii="Calibri" w:hAnsi="Calibri" w:cs="Calibri"/>
        <w:color w:val="404040" w:themeColor="text1" w:themeTint="BF"/>
        <w:sz w:val="20"/>
        <w:szCs w:val="20"/>
      </w:rPr>
      <w:t>|  February</w:t>
    </w:r>
    <w:proofErr w:type="gramEnd"/>
    <w:r w:rsidR="00511FE9" w:rsidRPr="003B02FC">
      <w:rPr>
        <w:rFonts w:ascii="Calibri" w:hAnsi="Calibri" w:cs="Calibri"/>
        <w:color w:val="404040" w:themeColor="text1" w:themeTint="BF"/>
        <w:sz w:val="20"/>
        <w:szCs w:val="20"/>
      </w:rPr>
      <w:t xml:space="preserve"> 2023</w:t>
    </w:r>
    <w:r w:rsidR="00511FE9" w:rsidRPr="003B02FC">
      <w:rPr>
        <w:rFonts w:ascii="Calibri" w:hAnsi="Calibri" w:cs="Calibri"/>
        <w:color w:val="404040" w:themeColor="text1" w:themeTint="BF"/>
        <w:sz w:val="20"/>
        <w:szCs w:val="20"/>
      </w:rPr>
      <w:tab/>
      <w:t xml:space="preserve">Page </w:t>
    </w:r>
    <w:r w:rsidR="00511FE9" w:rsidRPr="003B02FC">
      <w:rPr>
        <w:rFonts w:ascii="Calibri" w:hAnsi="Calibri" w:cs="Calibri"/>
        <w:color w:val="404040" w:themeColor="text1" w:themeTint="BF"/>
        <w:sz w:val="20"/>
        <w:szCs w:val="20"/>
      </w:rPr>
      <w:fldChar w:fldCharType="begin"/>
    </w:r>
    <w:r w:rsidR="00511FE9" w:rsidRPr="003B02FC">
      <w:rPr>
        <w:rFonts w:ascii="Calibri" w:hAnsi="Calibri" w:cs="Calibri"/>
        <w:color w:val="404040" w:themeColor="text1" w:themeTint="BF"/>
        <w:sz w:val="20"/>
        <w:szCs w:val="20"/>
      </w:rPr>
      <w:instrText xml:space="preserve"> PAGE </w:instrText>
    </w:r>
    <w:r w:rsidR="00511FE9" w:rsidRPr="003B02FC">
      <w:rPr>
        <w:rFonts w:ascii="Calibri" w:hAnsi="Calibri" w:cs="Calibri"/>
        <w:color w:val="404040" w:themeColor="text1" w:themeTint="BF"/>
        <w:sz w:val="20"/>
        <w:szCs w:val="20"/>
      </w:rPr>
      <w:fldChar w:fldCharType="separate"/>
    </w:r>
    <w:r w:rsidR="00511FE9" w:rsidRPr="003B02FC">
      <w:rPr>
        <w:rFonts w:ascii="Calibri" w:hAnsi="Calibri" w:cs="Calibri"/>
        <w:color w:val="404040" w:themeColor="text1" w:themeTint="BF"/>
        <w:sz w:val="20"/>
        <w:szCs w:val="20"/>
      </w:rPr>
      <w:t>1</w:t>
    </w:r>
    <w:r w:rsidR="00511FE9" w:rsidRPr="003B02FC">
      <w:rPr>
        <w:rFonts w:ascii="Calibri" w:hAnsi="Calibri" w:cs="Calibri"/>
        <w:color w:val="404040" w:themeColor="text1" w:themeTint="BF"/>
        <w:sz w:val="20"/>
        <w:szCs w:val="20"/>
      </w:rPr>
      <w:fldChar w:fldCharType="end"/>
    </w:r>
    <w:r w:rsidR="00511FE9" w:rsidRPr="003B02FC">
      <w:rPr>
        <w:rFonts w:ascii="Calibri" w:hAnsi="Calibri" w:cs="Calibri"/>
        <w:color w:val="404040" w:themeColor="text1" w:themeTint="BF"/>
        <w:sz w:val="20"/>
        <w:szCs w:val="20"/>
      </w:rPr>
      <w:t xml:space="preserve"> of </w:t>
    </w:r>
    <w:r w:rsidR="00511FE9" w:rsidRPr="003B02FC">
      <w:rPr>
        <w:rFonts w:ascii="Calibri" w:hAnsi="Calibri" w:cs="Calibri"/>
        <w:color w:val="404040" w:themeColor="text1" w:themeTint="BF"/>
        <w:sz w:val="20"/>
        <w:szCs w:val="20"/>
      </w:rPr>
      <w:fldChar w:fldCharType="begin"/>
    </w:r>
    <w:r w:rsidR="00511FE9" w:rsidRPr="003B02FC">
      <w:rPr>
        <w:rFonts w:ascii="Calibri" w:hAnsi="Calibri" w:cs="Calibri"/>
        <w:color w:val="404040" w:themeColor="text1" w:themeTint="BF"/>
        <w:sz w:val="20"/>
        <w:szCs w:val="20"/>
      </w:rPr>
      <w:instrText xml:space="preserve"> NUMPAGES </w:instrText>
    </w:r>
    <w:r w:rsidR="00511FE9" w:rsidRPr="003B02FC">
      <w:rPr>
        <w:rFonts w:ascii="Calibri" w:hAnsi="Calibri" w:cs="Calibri"/>
        <w:color w:val="404040" w:themeColor="text1" w:themeTint="BF"/>
        <w:sz w:val="20"/>
        <w:szCs w:val="20"/>
      </w:rPr>
      <w:fldChar w:fldCharType="separate"/>
    </w:r>
    <w:r w:rsidR="00511FE9" w:rsidRPr="003B02FC">
      <w:rPr>
        <w:rFonts w:ascii="Calibri" w:hAnsi="Calibri" w:cs="Calibri"/>
        <w:color w:val="404040" w:themeColor="text1" w:themeTint="BF"/>
        <w:sz w:val="20"/>
        <w:szCs w:val="20"/>
      </w:rPr>
      <w:t>1</w:t>
    </w:r>
    <w:r w:rsidR="00511FE9" w:rsidRPr="003B02FC">
      <w:rPr>
        <w:rFonts w:ascii="Calibri" w:hAnsi="Calibri" w:cs="Calibri"/>
        <w:color w:val="404040" w:themeColor="text1" w:themeTint="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856F" w14:textId="13C4F464" w:rsidR="00D739D7" w:rsidRPr="003B02FC" w:rsidRDefault="0071274C" w:rsidP="00511FE9">
    <w:pPr>
      <w:pStyle w:val="Footer"/>
      <w:tabs>
        <w:tab w:val="clear" w:pos="4680"/>
        <w:tab w:val="clear" w:pos="9360"/>
        <w:tab w:val="right" w:pos="14310"/>
      </w:tabs>
      <w:rPr>
        <w:rFonts w:ascii="Calibri" w:hAnsi="Calibri" w:cs="Calibri"/>
        <w:color w:val="404040" w:themeColor="text1" w:themeTint="BF"/>
        <w:sz w:val="20"/>
        <w:szCs w:val="20"/>
      </w:rPr>
    </w:pPr>
    <w:hyperlink r:id="rId1" w:history="1">
      <w:r w:rsidR="00511FE9" w:rsidRPr="003B02FC">
        <w:rPr>
          <w:rStyle w:val="Hyperlink"/>
          <w:rFonts w:ascii="Calibri" w:hAnsi="Calibri" w:cs="Calibri"/>
          <w:color w:val="404040" w:themeColor="text1" w:themeTint="BF"/>
          <w:sz w:val="20"/>
          <w:szCs w:val="20"/>
          <w:u w:val="none"/>
        </w:rPr>
        <w:t xml:space="preserve">bdtrust.org </w:t>
      </w:r>
    </w:hyperlink>
    <w:r w:rsidR="00511FE9" w:rsidRPr="003B02FC">
      <w:rPr>
        <w:rFonts w:ascii="Calibri" w:hAnsi="Calibri" w:cs="Calibri"/>
        <w:color w:val="404040" w:themeColor="text1" w:themeTint="BF"/>
        <w:sz w:val="20"/>
        <w:szCs w:val="20"/>
      </w:rPr>
      <w:t xml:space="preserve"> </w:t>
    </w:r>
    <w:proofErr w:type="gramStart"/>
    <w:r w:rsidR="00511FE9" w:rsidRPr="003B02FC">
      <w:rPr>
        <w:rFonts w:ascii="Calibri" w:hAnsi="Calibri" w:cs="Calibri"/>
        <w:color w:val="404040" w:themeColor="text1" w:themeTint="BF"/>
        <w:sz w:val="20"/>
        <w:szCs w:val="20"/>
      </w:rPr>
      <w:t>|  February</w:t>
    </w:r>
    <w:proofErr w:type="gramEnd"/>
    <w:r w:rsidR="00511FE9" w:rsidRPr="003B02FC">
      <w:rPr>
        <w:rFonts w:ascii="Calibri" w:hAnsi="Calibri" w:cs="Calibri"/>
        <w:color w:val="404040" w:themeColor="text1" w:themeTint="BF"/>
        <w:sz w:val="20"/>
        <w:szCs w:val="20"/>
      </w:rPr>
      <w:t xml:space="preserve"> 2023</w:t>
    </w:r>
    <w:r w:rsidR="00511FE9" w:rsidRPr="003B02FC">
      <w:rPr>
        <w:rFonts w:ascii="Calibri" w:hAnsi="Calibri" w:cs="Calibri"/>
        <w:color w:val="404040" w:themeColor="text1" w:themeTint="BF"/>
        <w:sz w:val="20"/>
        <w:szCs w:val="20"/>
      </w:rPr>
      <w:tab/>
      <w:t xml:space="preserve">Page </w:t>
    </w:r>
    <w:r w:rsidR="00511FE9" w:rsidRPr="003B02FC">
      <w:rPr>
        <w:rFonts w:ascii="Calibri" w:hAnsi="Calibri" w:cs="Calibri"/>
        <w:color w:val="404040" w:themeColor="text1" w:themeTint="BF"/>
        <w:sz w:val="20"/>
        <w:szCs w:val="20"/>
      </w:rPr>
      <w:fldChar w:fldCharType="begin"/>
    </w:r>
    <w:r w:rsidR="00511FE9" w:rsidRPr="003B02FC">
      <w:rPr>
        <w:rFonts w:ascii="Calibri" w:hAnsi="Calibri" w:cs="Calibri"/>
        <w:color w:val="404040" w:themeColor="text1" w:themeTint="BF"/>
        <w:sz w:val="20"/>
        <w:szCs w:val="20"/>
      </w:rPr>
      <w:instrText xml:space="preserve"> PAGE </w:instrText>
    </w:r>
    <w:r w:rsidR="00511FE9" w:rsidRPr="003B02FC">
      <w:rPr>
        <w:rFonts w:ascii="Calibri" w:hAnsi="Calibri" w:cs="Calibri"/>
        <w:color w:val="404040" w:themeColor="text1" w:themeTint="BF"/>
        <w:sz w:val="20"/>
        <w:szCs w:val="20"/>
      </w:rPr>
      <w:fldChar w:fldCharType="separate"/>
    </w:r>
    <w:r w:rsidR="00511FE9" w:rsidRPr="003B02FC">
      <w:rPr>
        <w:rFonts w:ascii="Calibri" w:hAnsi="Calibri" w:cs="Calibri"/>
        <w:color w:val="404040" w:themeColor="text1" w:themeTint="BF"/>
        <w:sz w:val="20"/>
        <w:szCs w:val="20"/>
      </w:rPr>
      <w:t>1</w:t>
    </w:r>
    <w:r w:rsidR="00511FE9" w:rsidRPr="003B02FC">
      <w:rPr>
        <w:rFonts w:ascii="Calibri" w:hAnsi="Calibri" w:cs="Calibri"/>
        <w:color w:val="404040" w:themeColor="text1" w:themeTint="BF"/>
        <w:sz w:val="20"/>
        <w:szCs w:val="20"/>
      </w:rPr>
      <w:fldChar w:fldCharType="end"/>
    </w:r>
    <w:r w:rsidR="00511FE9" w:rsidRPr="003B02FC">
      <w:rPr>
        <w:rFonts w:ascii="Calibri" w:hAnsi="Calibri" w:cs="Calibri"/>
        <w:color w:val="404040" w:themeColor="text1" w:themeTint="BF"/>
        <w:sz w:val="20"/>
        <w:szCs w:val="20"/>
      </w:rPr>
      <w:t xml:space="preserve"> of </w:t>
    </w:r>
    <w:r w:rsidR="00511FE9" w:rsidRPr="003B02FC">
      <w:rPr>
        <w:rFonts w:ascii="Calibri" w:hAnsi="Calibri" w:cs="Calibri"/>
        <w:color w:val="404040" w:themeColor="text1" w:themeTint="BF"/>
        <w:sz w:val="20"/>
        <w:szCs w:val="20"/>
      </w:rPr>
      <w:fldChar w:fldCharType="begin"/>
    </w:r>
    <w:r w:rsidR="00511FE9" w:rsidRPr="003B02FC">
      <w:rPr>
        <w:rFonts w:ascii="Calibri" w:hAnsi="Calibri" w:cs="Calibri"/>
        <w:color w:val="404040" w:themeColor="text1" w:themeTint="BF"/>
        <w:sz w:val="20"/>
        <w:szCs w:val="20"/>
      </w:rPr>
      <w:instrText xml:space="preserve"> NUMPAGES </w:instrText>
    </w:r>
    <w:r w:rsidR="00511FE9" w:rsidRPr="003B02FC">
      <w:rPr>
        <w:rFonts w:ascii="Calibri" w:hAnsi="Calibri" w:cs="Calibri"/>
        <w:color w:val="404040" w:themeColor="text1" w:themeTint="BF"/>
        <w:sz w:val="20"/>
        <w:szCs w:val="20"/>
      </w:rPr>
      <w:fldChar w:fldCharType="separate"/>
    </w:r>
    <w:r w:rsidR="00511FE9" w:rsidRPr="003B02FC">
      <w:rPr>
        <w:rFonts w:ascii="Calibri" w:hAnsi="Calibri" w:cs="Calibri"/>
        <w:color w:val="404040" w:themeColor="text1" w:themeTint="BF"/>
        <w:sz w:val="20"/>
        <w:szCs w:val="20"/>
      </w:rPr>
      <w:t>1</w:t>
    </w:r>
    <w:r w:rsidR="00511FE9" w:rsidRPr="003B02FC">
      <w:rPr>
        <w:rFonts w:ascii="Calibri" w:hAnsi="Calibri" w:cs="Calibri"/>
        <w:color w:val="404040" w:themeColor="text1" w:themeTint="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9313" w14:textId="77777777" w:rsidR="00410620" w:rsidRDefault="00410620" w:rsidP="00BC71EC">
      <w:r>
        <w:separator/>
      </w:r>
    </w:p>
  </w:footnote>
  <w:footnote w:type="continuationSeparator" w:id="0">
    <w:p w14:paraId="433FE554" w14:textId="77777777" w:rsidR="00410620" w:rsidRDefault="00410620" w:rsidP="00BC71EC">
      <w:r>
        <w:continuationSeparator/>
      </w:r>
    </w:p>
  </w:footnote>
  <w:footnote w:type="continuationNotice" w:id="1">
    <w:p w14:paraId="0FA1014F" w14:textId="77777777" w:rsidR="00410620" w:rsidRDefault="00410620"/>
  </w:footnote>
  <w:footnote w:id="2">
    <w:p w14:paraId="5E598578" w14:textId="77777777" w:rsidR="003B02FC" w:rsidRPr="003B02FC" w:rsidRDefault="003B02FC" w:rsidP="003B02FC">
      <w:pPr>
        <w:pStyle w:val="paragraph"/>
        <w:spacing w:before="0" w:beforeAutospacing="0" w:after="0" w:afterAutospacing="0"/>
        <w:textAlignment w:val="baseline"/>
        <w:rPr>
          <w:rFonts w:ascii="Calibri" w:hAnsi="Calibri" w:cs="Calibri"/>
          <w:sz w:val="16"/>
          <w:szCs w:val="16"/>
        </w:rPr>
      </w:pPr>
      <w:r w:rsidRPr="003B02FC">
        <w:rPr>
          <w:rStyle w:val="FootnoteReference"/>
          <w:rFonts w:ascii="Calibri" w:hAnsi="Calibri" w:cs="Calibri"/>
          <w:sz w:val="16"/>
          <w:szCs w:val="16"/>
        </w:rPr>
        <w:footnoteRef/>
      </w:r>
      <w:r w:rsidRPr="003B02FC">
        <w:rPr>
          <w:rFonts w:ascii="Calibri" w:hAnsi="Calibri" w:cs="Calibri"/>
          <w:sz w:val="16"/>
          <w:szCs w:val="16"/>
        </w:rPr>
        <w:t xml:space="preserve"> </w:t>
      </w:r>
      <w:r w:rsidRPr="003B02FC">
        <w:rPr>
          <w:rStyle w:val="normaltextrun"/>
          <w:rFonts w:ascii="Calibri" w:hAnsi="Calibri" w:cs="Calibri"/>
          <w:sz w:val="16"/>
          <w:szCs w:val="16"/>
        </w:rPr>
        <w:t>BDT estimate based on the following federal data: </w:t>
      </w:r>
      <w:r w:rsidRPr="003B02FC">
        <w:rPr>
          <w:rStyle w:val="eop"/>
          <w:rFonts w:ascii="Calibri" w:hAnsi="Calibri" w:cs="Calibri"/>
          <w:sz w:val="16"/>
          <w:szCs w:val="16"/>
        </w:rPr>
        <w:t> </w:t>
      </w:r>
    </w:p>
    <w:p w14:paraId="468AFE8D" w14:textId="2ABDB01F" w:rsidR="00764D85" w:rsidRPr="00764D85" w:rsidRDefault="00764D85" w:rsidP="00764D85">
      <w:pPr>
        <w:ind w:left="90"/>
        <w:rPr>
          <w:rFonts w:ascii="Calibri" w:eastAsia="Calibri" w:hAnsi="Calibri" w:cs="Calibri"/>
          <w:sz w:val="16"/>
          <w:szCs w:val="16"/>
        </w:rPr>
      </w:pPr>
      <w:r w:rsidRPr="00764D85">
        <w:rPr>
          <w:rFonts w:ascii="Calibri" w:eastAsia="Calibri" w:hAnsi="Calibri" w:cs="Calibri"/>
          <w:color w:val="1D1C1D"/>
          <w:sz w:val="16"/>
          <w:szCs w:val="16"/>
        </w:rPr>
        <w:t>U.S. Government Accountability Office, “</w:t>
      </w:r>
      <w:hyperlink r:id="rId1">
        <w:r w:rsidRPr="00764D85">
          <w:rPr>
            <w:rStyle w:val="Hyperlink"/>
            <w:rFonts w:ascii="Calibri" w:eastAsia="Calibri" w:hAnsi="Calibri" w:cs="Calibri"/>
            <w:sz w:val="16"/>
            <w:szCs w:val="16"/>
          </w:rPr>
          <w:t xml:space="preserve">Food Insecurity: Better Information Could Help Eligible </w:t>
        </w:r>
      </w:hyperlink>
      <w:r w:rsidRPr="00764D85">
        <w:rPr>
          <w:rStyle w:val="Hyperlink"/>
          <w:rFonts w:ascii="Calibri" w:eastAsia="Calibri" w:hAnsi="Calibri" w:cs="Calibri"/>
          <w:sz w:val="16"/>
          <w:szCs w:val="16"/>
        </w:rPr>
        <w:t>College Students Access Federal Food Assistance Benefits</w:t>
      </w:r>
      <w:r w:rsidRPr="00764D85">
        <w:rPr>
          <w:rFonts w:ascii="Calibri" w:eastAsia="Calibri" w:hAnsi="Calibri" w:cs="Calibri"/>
          <w:color w:val="1D1C1D"/>
          <w:sz w:val="16"/>
          <w:szCs w:val="16"/>
        </w:rPr>
        <w:t xml:space="preserve">,” December 21, </w:t>
      </w:r>
      <w:proofErr w:type="gramStart"/>
      <w:r w:rsidRPr="00764D85">
        <w:rPr>
          <w:rFonts w:ascii="Calibri" w:eastAsia="Calibri" w:hAnsi="Calibri" w:cs="Calibri"/>
          <w:color w:val="1D1C1D"/>
          <w:sz w:val="16"/>
          <w:szCs w:val="16"/>
        </w:rPr>
        <w:t>2018;</w:t>
      </w:r>
      <w:proofErr w:type="gramEnd"/>
    </w:p>
    <w:p w14:paraId="22C1BB27" w14:textId="51EA7600" w:rsidR="003B02FC" w:rsidRPr="00764D85" w:rsidRDefault="00764D85" w:rsidP="00764D85">
      <w:pPr>
        <w:ind w:left="90"/>
        <w:rPr>
          <w:rFonts w:ascii="Calibri" w:eastAsia="Calibri" w:hAnsi="Calibri" w:cs="Calibri"/>
          <w:b/>
          <w:bCs/>
          <w:color w:val="000000" w:themeColor="text1"/>
          <w:sz w:val="16"/>
          <w:szCs w:val="16"/>
        </w:rPr>
      </w:pPr>
      <w:r w:rsidRPr="00764D85">
        <w:rPr>
          <w:rFonts w:ascii="Calibri" w:eastAsia="Calibri" w:hAnsi="Calibri" w:cs="Calibri"/>
          <w:color w:val="000000" w:themeColor="text1"/>
          <w:sz w:val="16"/>
          <w:szCs w:val="16"/>
        </w:rPr>
        <w:t>U.S. Department of Agriculture, Food and Nutrition Services, “</w:t>
      </w:r>
      <w:hyperlink r:id="rId2" w:history="1">
        <w:r w:rsidRPr="00764D85">
          <w:rPr>
            <w:rStyle w:val="Hyperlink"/>
            <w:rFonts w:ascii="Calibri" w:eastAsia="Calibri" w:hAnsi="Calibri" w:cs="Calibri"/>
            <w:sz w:val="16"/>
            <w:szCs w:val="16"/>
          </w:rPr>
          <w:t>SNAP Data Tables</w:t>
        </w:r>
      </w:hyperlink>
      <w:r w:rsidRPr="00764D85">
        <w:rPr>
          <w:rFonts w:ascii="Calibri" w:eastAsia="Calibri" w:hAnsi="Calibri" w:cs="Calibri"/>
          <w:color w:val="000000" w:themeColor="text1"/>
          <w:sz w:val="16"/>
          <w:szCs w:val="16"/>
        </w:rPr>
        <w:t>,” Fiscal Year 2019 national average SNAP benefits per person.</w:t>
      </w:r>
    </w:p>
  </w:footnote>
  <w:footnote w:id="3">
    <w:p w14:paraId="71EF41EF" w14:textId="31CAF1C2" w:rsidR="003B02FC" w:rsidRPr="003B02FC" w:rsidRDefault="003B02FC" w:rsidP="003B02FC">
      <w:pPr>
        <w:pStyle w:val="paragraph"/>
        <w:spacing w:before="0" w:beforeAutospacing="0" w:after="0" w:afterAutospacing="0"/>
        <w:ind w:left="90" w:hanging="90"/>
        <w:textAlignment w:val="baseline"/>
        <w:rPr>
          <w:rFonts w:ascii="Calibri" w:hAnsi="Calibri" w:cs="Calibri"/>
          <w:sz w:val="16"/>
          <w:szCs w:val="16"/>
        </w:rPr>
      </w:pPr>
      <w:r w:rsidRPr="003B02FC">
        <w:rPr>
          <w:rStyle w:val="FootnoteReference"/>
          <w:rFonts w:ascii="Calibri" w:hAnsi="Calibri" w:cs="Calibri"/>
          <w:sz w:val="16"/>
          <w:szCs w:val="16"/>
        </w:rPr>
        <w:footnoteRef/>
      </w:r>
      <w:r w:rsidR="00764D85">
        <w:rPr>
          <w:rStyle w:val="normaltextrun"/>
          <w:rFonts w:ascii="Calibri" w:hAnsi="Calibri" w:cs="Calibri"/>
          <w:sz w:val="16"/>
          <w:szCs w:val="16"/>
        </w:rPr>
        <w:t xml:space="preserve"> </w:t>
      </w:r>
      <w:r w:rsidRPr="003B02FC">
        <w:rPr>
          <w:rStyle w:val="normaltextrun"/>
          <w:rFonts w:ascii="Calibri" w:hAnsi="Calibri" w:cs="Calibri"/>
          <w:sz w:val="16"/>
          <w:szCs w:val="16"/>
        </w:rPr>
        <w:t>Additional examples of research and practice on data-driven outreach include: </w:t>
      </w:r>
      <w:r w:rsidRPr="003B02FC">
        <w:rPr>
          <w:rStyle w:val="eop"/>
          <w:rFonts w:ascii="Calibri" w:hAnsi="Calibri" w:cs="Calibri"/>
          <w:sz w:val="16"/>
          <w:szCs w:val="16"/>
        </w:rPr>
        <w:t> </w:t>
      </w:r>
    </w:p>
    <w:p w14:paraId="2A0285EB" w14:textId="77777777" w:rsidR="00764D85" w:rsidRPr="00764D85" w:rsidRDefault="00764D85" w:rsidP="00764D85">
      <w:pPr>
        <w:shd w:val="clear" w:color="auto" w:fill="FFFFFF"/>
        <w:ind w:left="90"/>
        <w:rPr>
          <w:rFonts w:ascii="Calibri" w:hAnsi="Calibri" w:cs="Calibri"/>
          <w:color w:val="000000" w:themeColor="text1"/>
          <w:sz w:val="16"/>
          <w:szCs w:val="16"/>
        </w:rPr>
      </w:pPr>
      <w:r w:rsidRPr="00764D85">
        <w:rPr>
          <w:rFonts w:ascii="Calibri" w:hAnsi="Calibri" w:cs="Calibri"/>
          <w:color w:val="000000" w:themeColor="text1"/>
          <w:sz w:val="16"/>
          <w:szCs w:val="16"/>
        </w:rPr>
        <w:t>Amy Finkelstein and Matthew Notowidigdo, “</w:t>
      </w:r>
      <w:hyperlink r:id="rId3" w:history="1">
        <w:r w:rsidRPr="00764D85">
          <w:rPr>
            <w:rStyle w:val="Hyperlink"/>
            <w:rFonts w:ascii="Calibri" w:hAnsi="Calibri" w:cs="Calibri"/>
            <w:sz w:val="16"/>
            <w:szCs w:val="16"/>
          </w:rPr>
          <w:t>SNAP Take-up Evaluation</w:t>
        </w:r>
      </w:hyperlink>
      <w:r w:rsidRPr="00764D85">
        <w:rPr>
          <w:rFonts w:ascii="Calibri" w:hAnsi="Calibri" w:cs="Calibri"/>
          <w:color w:val="000000" w:themeColor="text1"/>
          <w:sz w:val="16"/>
          <w:szCs w:val="16"/>
        </w:rPr>
        <w:t xml:space="preserve">”, 2019, J-PAL North </w:t>
      </w:r>
      <w:proofErr w:type="gramStart"/>
      <w:r w:rsidRPr="00764D85">
        <w:rPr>
          <w:rFonts w:ascii="Calibri" w:hAnsi="Calibri" w:cs="Calibri"/>
          <w:color w:val="000000" w:themeColor="text1"/>
          <w:sz w:val="16"/>
          <w:szCs w:val="16"/>
        </w:rPr>
        <w:t>America;</w:t>
      </w:r>
      <w:proofErr w:type="gramEnd"/>
      <w:r w:rsidRPr="00764D85">
        <w:rPr>
          <w:rFonts w:ascii="Calibri" w:hAnsi="Calibri" w:cs="Calibri"/>
          <w:color w:val="000000" w:themeColor="text1"/>
          <w:sz w:val="16"/>
          <w:szCs w:val="16"/>
        </w:rPr>
        <w:t xml:space="preserve"> </w:t>
      </w:r>
    </w:p>
    <w:p w14:paraId="1E9D8073" w14:textId="4EC9E109" w:rsidR="003B02FC" w:rsidRPr="00764D85" w:rsidRDefault="00764D85" w:rsidP="00764D85">
      <w:pPr>
        <w:shd w:val="clear" w:color="auto" w:fill="FFFFFF"/>
        <w:ind w:left="90"/>
        <w:rPr>
          <w:rFonts w:ascii="Calibri" w:hAnsi="Calibri" w:cs="Calibri"/>
          <w:color w:val="4A5468"/>
          <w:sz w:val="16"/>
          <w:szCs w:val="16"/>
        </w:rPr>
      </w:pPr>
      <w:r w:rsidRPr="00764D85">
        <w:rPr>
          <w:rFonts w:ascii="Calibri" w:hAnsi="Calibri" w:cs="Calibri"/>
          <w:color w:val="000000" w:themeColor="text1"/>
          <w:sz w:val="16"/>
          <w:szCs w:val="16"/>
        </w:rPr>
        <w:t>Sarah Kliff, “</w:t>
      </w:r>
      <w:hyperlink r:id="rId4" w:history="1">
        <w:r w:rsidRPr="00764D85">
          <w:rPr>
            <w:rStyle w:val="Hyperlink"/>
            <w:rFonts w:ascii="Calibri" w:hAnsi="Calibri" w:cs="Calibri"/>
            <w:sz w:val="16"/>
            <w:szCs w:val="16"/>
          </w:rPr>
          <w:t>The I.R.S. Sent a Letter to 3.9 Million People. It Saved Some of Their Lives</w:t>
        </w:r>
      </w:hyperlink>
      <w:r w:rsidRPr="00764D85">
        <w:rPr>
          <w:rFonts w:ascii="Calibri" w:hAnsi="Calibri" w:cs="Calibri"/>
          <w:color w:val="000000" w:themeColor="text1"/>
          <w:sz w:val="16"/>
          <w:szCs w:val="16"/>
        </w:rPr>
        <w:t xml:space="preserve">” New York Times, December 10,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4F17" w14:textId="77777777" w:rsidR="0081401B" w:rsidRDefault="0081401B" w:rsidP="0081401B">
    <w:pPr>
      <w:rPr>
        <w:rFonts w:ascii="Calibri" w:hAnsi="Calibri"/>
        <w:b/>
        <w:bCs/>
        <w:color w:val="595959" w:themeColor="text1" w:themeTint="A6"/>
        <w:sz w:val="20"/>
        <w:szCs w:val="20"/>
      </w:rPr>
    </w:pPr>
    <w:r w:rsidRPr="0009659D">
      <w:rPr>
        <w:rFonts w:ascii="Calibri" w:hAnsi="Calibri"/>
        <w:b/>
        <w:bCs/>
        <w:color w:val="595959" w:themeColor="text1" w:themeTint="A6"/>
        <w:sz w:val="20"/>
        <w:szCs w:val="20"/>
      </w:rPr>
      <w:t xml:space="preserve">Benefits Access for Student Success: </w:t>
    </w:r>
    <w:r>
      <w:rPr>
        <w:rFonts w:ascii="Calibri" w:hAnsi="Calibri"/>
        <w:b/>
        <w:bCs/>
        <w:color w:val="595959" w:themeColor="text1" w:themeTint="A6"/>
        <w:sz w:val="20"/>
        <w:szCs w:val="20"/>
      </w:rPr>
      <w:t>Leveraging</w:t>
    </w:r>
    <w:r w:rsidRPr="0009659D">
      <w:rPr>
        <w:rFonts w:ascii="Calibri" w:hAnsi="Calibri"/>
        <w:b/>
        <w:bCs/>
        <w:color w:val="595959" w:themeColor="text1" w:themeTint="A6"/>
        <w:sz w:val="20"/>
        <w:szCs w:val="20"/>
      </w:rPr>
      <w:t xml:space="preserve"> Data to Find Eligible Students </w:t>
    </w:r>
  </w:p>
  <w:p w14:paraId="5504DF6D" w14:textId="37862D78" w:rsidR="0081401B" w:rsidRDefault="0081401B" w:rsidP="0081401B">
    <w:pPr>
      <w:rPr>
        <w:rFonts w:ascii="Calibri" w:hAnsi="Calibri"/>
        <w:color w:val="595959" w:themeColor="text1" w:themeTint="A6"/>
        <w:sz w:val="20"/>
        <w:szCs w:val="20"/>
      </w:rPr>
    </w:pPr>
    <w:r>
      <w:rPr>
        <w:rFonts w:ascii="Calibri" w:hAnsi="Calibri"/>
        <w:color w:val="595959" w:themeColor="text1" w:themeTint="A6"/>
        <w:sz w:val="20"/>
        <w:szCs w:val="20"/>
      </w:rPr>
      <w:t>Introduction</w:t>
    </w:r>
  </w:p>
  <w:p w14:paraId="6E91A937" w14:textId="77777777" w:rsidR="0081401B" w:rsidRDefault="00814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5F22"/>
    <w:multiLevelType w:val="hybridMultilevel"/>
    <w:tmpl w:val="83E4201C"/>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A2F6B7C"/>
    <w:multiLevelType w:val="hybridMultilevel"/>
    <w:tmpl w:val="83E4201C"/>
    <w:lvl w:ilvl="0" w:tplc="47CCEAA8">
      <w:start w:val="1"/>
      <w:numFmt w:val="decimal"/>
      <w:lvlText w:val="%1."/>
      <w:lvlJc w:val="left"/>
      <w:pPr>
        <w:ind w:left="720" w:hanging="360"/>
      </w:pPr>
      <w:rPr>
        <w:rFonts w:asciiTheme="minorHAnsi" w:eastAsiaTheme="minorHAnsi" w:hAnsiTheme="minorHAnsi" w:cstheme="minorBidi"/>
      </w:rPr>
    </w:lvl>
    <w:lvl w:ilvl="1" w:tplc="6568BCCC">
      <w:start w:val="1"/>
      <w:numFmt w:val="bullet"/>
      <w:lvlText w:val="o"/>
      <w:lvlJc w:val="left"/>
      <w:pPr>
        <w:ind w:left="1440" w:hanging="360"/>
      </w:pPr>
      <w:rPr>
        <w:rFonts w:ascii="Courier New" w:hAnsi="Courier New" w:hint="default"/>
      </w:rPr>
    </w:lvl>
    <w:lvl w:ilvl="2" w:tplc="93B2A03E">
      <w:start w:val="1"/>
      <w:numFmt w:val="bullet"/>
      <w:lvlText w:val=""/>
      <w:lvlJc w:val="left"/>
      <w:pPr>
        <w:ind w:left="2160" w:hanging="360"/>
      </w:pPr>
      <w:rPr>
        <w:rFonts w:ascii="Wingdings" w:hAnsi="Wingdings" w:hint="default"/>
      </w:rPr>
    </w:lvl>
    <w:lvl w:ilvl="3" w:tplc="0096F68C">
      <w:start w:val="1"/>
      <w:numFmt w:val="bullet"/>
      <w:lvlText w:val=""/>
      <w:lvlJc w:val="left"/>
      <w:pPr>
        <w:ind w:left="2880" w:hanging="360"/>
      </w:pPr>
      <w:rPr>
        <w:rFonts w:ascii="Symbol" w:hAnsi="Symbol" w:hint="default"/>
      </w:rPr>
    </w:lvl>
    <w:lvl w:ilvl="4" w:tplc="16447886">
      <w:start w:val="1"/>
      <w:numFmt w:val="bullet"/>
      <w:lvlText w:val="o"/>
      <w:lvlJc w:val="left"/>
      <w:pPr>
        <w:ind w:left="3600" w:hanging="360"/>
      </w:pPr>
      <w:rPr>
        <w:rFonts w:ascii="Courier New" w:hAnsi="Courier New" w:hint="default"/>
      </w:rPr>
    </w:lvl>
    <w:lvl w:ilvl="5" w:tplc="0FDCAF56">
      <w:start w:val="1"/>
      <w:numFmt w:val="bullet"/>
      <w:lvlText w:val=""/>
      <w:lvlJc w:val="left"/>
      <w:pPr>
        <w:ind w:left="4320" w:hanging="360"/>
      </w:pPr>
      <w:rPr>
        <w:rFonts w:ascii="Wingdings" w:hAnsi="Wingdings" w:hint="default"/>
      </w:rPr>
    </w:lvl>
    <w:lvl w:ilvl="6" w:tplc="F3221B78">
      <w:start w:val="1"/>
      <w:numFmt w:val="bullet"/>
      <w:lvlText w:val=""/>
      <w:lvlJc w:val="left"/>
      <w:pPr>
        <w:ind w:left="5040" w:hanging="360"/>
      </w:pPr>
      <w:rPr>
        <w:rFonts w:ascii="Symbol" w:hAnsi="Symbol" w:hint="default"/>
      </w:rPr>
    </w:lvl>
    <w:lvl w:ilvl="7" w:tplc="38A811DE">
      <w:start w:val="1"/>
      <w:numFmt w:val="bullet"/>
      <w:lvlText w:val="o"/>
      <w:lvlJc w:val="left"/>
      <w:pPr>
        <w:ind w:left="5760" w:hanging="360"/>
      </w:pPr>
      <w:rPr>
        <w:rFonts w:ascii="Courier New" w:hAnsi="Courier New" w:hint="default"/>
      </w:rPr>
    </w:lvl>
    <w:lvl w:ilvl="8" w:tplc="C3263B4C">
      <w:start w:val="1"/>
      <w:numFmt w:val="bullet"/>
      <w:lvlText w:val=""/>
      <w:lvlJc w:val="left"/>
      <w:pPr>
        <w:ind w:left="6480" w:hanging="360"/>
      </w:pPr>
      <w:rPr>
        <w:rFonts w:ascii="Wingdings" w:hAnsi="Wingdings" w:hint="default"/>
      </w:rPr>
    </w:lvl>
  </w:abstractNum>
  <w:abstractNum w:abstractNumId="2" w15:restartNumberingAfterBreak="0">
    <w:nsid w:val="58CA031B"/>
    <w:multiLevelType w:val="hybridMultilevel"/>
    <w:tmpl w:val="EC16B484"/>
    <w:lvl w:ilvl="0" w:tplc="9A7275AE">
      <w:numFmt w:val="bullet"/>
      <w:lvlText w:val="•"/>
      <w:lvlJc w:val="left"/>
      <w:pPr>
        <w:ind w:left="720" w:hanging="360"/>
      </w:pPr>
      <w:rPr>
        <w:rFonts w:ascii="Myriad Pro" w:eastAsia="Times New Roman" w:hAnsi="Myriad Pro"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CF66C31"/>
    <w:multiLevelType w:val="hybridMultilevel"/>
    <w:tmpl w:val="F28A4DE0"/>
    <w:lvl w:ilvl="0" w:tplc="9A7275AE">
      <w:numFmt w:val="bullet"/>
      <w:lvlText w:val="•"/>
      <w:lvlJc w:val="left"/>
      <w:pPr>
        <w:ind w:left="720" w:hanging="360"/>
      </w:pPr>
      <w:rPr>
        <w:rFonts w:ascii="Myriad Pro" w:eastAsia="Times New Roman" w:hAnsi="Myriad Pro"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47238946">
    <w:abstractNumId w:val="1"/>
  </w:num>
  <w:num w:numId="2" w16cid:durableId="1655404798">
    <w:abstractNumId w:val="2"/>
  </w:num>
  <w:num w:numId="3" w16cid:durableId="1677924903">
    <w:abstractNumId w:val="3"/>
  </w:num>
  <w:num w:numId="4" w16cid:durableId="15125714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1575"/>
    <w:rsid w:val="0000495D"/>
    <w:rsid w:val="00005208"/>
    <w:rsid w:val="00005D5A"/>
    <w:rsid w:val="0000713C"/>
    <w:rsid w:val="00012C05"/>
    <w:rsid w:val="0002380E"/>
    <w:rsid w:val="00027B5C"/>
    <w:rsid w:val="00027DF7"/>
    <w:rsid w:val="00033B61"/>
    <w:rsid w:val="00034680"/>
    <w:rsid w:val="00035E56"/>
    <w:rsid w:val="00043E48"/>
    <w:rsid w:val="00044841"/>
    <w:rsid w:val="000549C0"/>
    <w:rsid w:val="00054B8D"/>
    <w:rsid w:val="00056955"/>
    <w:rsid w:val="000621FA"/>
    <w:rsid w:val="00066B9A"/>
    <w:rsid w:val="00072BCA"/>
    <w:rsid w:val="000741E2"/>
    <w:rsid w:val="000869C8"/>
    <w:rsid w:val="00086E16"/>
    <w:rsid w:val="000872AD"/>
    <w:rsid w:val="00092198"/>
    <w:rsid w:val="0009659D"/>
    <w:rsid w:val="000A0898"/>
    <w:rsid w:val="000A1F64"/>
    <w:rsid w:val="000A3487"/>
    <w:rsid w:val="000A4C8C"/>
    <w:rsid w:val="000A6ACE"/>
    <w:rsid w:val="000B6609"/>
    <w:rsid w:val="000C13E4"/>
    <w:rsid w:val="000C1D73"/>
    <w:rsid w:val="000C57C1"/>
    <w:rsid w:val="000D6466"/>
    <w:rsid w:val="000E0181"/>
    <w:rsid w:val="000E17A9"/>
    <w:rsid w:val="000E329D"/>
    <w:rsid w:val="000E45BD"/>
    <w:rsid w:val="000E5EFA"/>
    <w:rsid w:val="000E7C86"/>
    <w:rsid w:val="000F0251"/>
    <w:rsid w:val="000F2AFF"/>
    <w:rsid w:val="000F32E5"/>
    <w:rsid w:val="000F37C4"/>
    <w:rsid w:val="000F4A95"/>
    <w:rsid w:val="00111471"/>
    <w:rsid w:val="00113FE4"/>
    <w:rsid w:val="00114856"/>
    <w:rsid w:val="00115D76"/>
    <w:rsid w:val="00123C82"/>
    <w:rsid w:val="0012532F"/>
    <w:rsid w:val="00127A73"/>
    <w:rsid w:val="00132696"/>
    <w:rsid w:val="00136997"/>
    <w:rsid w:val="00137491"/>
    <w:rsid w:val="00147178"/>
    <w:rsid w:val="0015282E"/>
    <w:rsid w:val="00156736"/>
    <w:rsid w:val="00160A0B"/>
    <w:rsid w:val="00160C5C"/>
    <w:rsid w:val="0016142B"/>
    <w:rsid w:val="001626D0"/>
    <w:rsid w:val="00162D04"/>
    <w:rsid w:val="00165401"/>
    <w:rsid w:val="0016570B"/>
    <w:rsid w:val="0016694C"/>
    <w:rsid w:val="0017265D"/>
    <w:rsid w:val="00173025"/>
    <w:rsid w:val="00173804"/>
    <w:rsid w:val="00174854"/>
    <w:rsid w:val="00176D2D"/>
    <w:rsid w:val="00180936"/>
    <w:rsid w:val="00180C6C"/>
    <w:rsid w:val="001918DE"/>
    <w:rsid w:val="00194ADB"/>
    <w:rsid w:val="001A0ECB"/>
    <w:rsid w:val="001A3137"/>
    <w:rsid w:val="001A374C"/>
    <w:rsid w:val="001A3BA4"/>
    <w:rsid w:val="001A6C7B"/>
    <w:rsid w:val="001B0174"/>
    <w:rsid w:val="001B1A98"/>
    <w:rsid w:val="001B4E4C"/>
    <w:rsid w:val="001B537A"/>
    <w:rsid w:val="001B6AC4"/>
    <w:rsid w:val="001B6C20"/>
    <w:rsid w:val="001B755F"/>
    <w:rsid w:val="001C72E0"/>
    <w:rsid w:val="001D35E6"/>
    <w:rsid w:val="001D61D7"/>
    <w:rsid w:val="001D79C2"/>
    <w:rsid w:val="001D7FB4"/>
    <w:rsid w:val="001E0A09"/>
    <w:rsid w:val="001E0F20"/>
    <w:rsid w:val="001E12BA"/>
    <w:rsid w:val="001E5D3D"/>
    <w:rsid w:val="001F1135"/>
    <w:rsid w:val="001F4F9D"/>
    <w:rsid w:val="00200BB4"/>
    <w:rsid w:val="00205E88"/>
    <w:rsid w:val="002137F6"/>
    <w:rsid w:val="002141A5"/>
    <w:rsid w:val="00215745"/>
    <w:rsid w:val="002165A7"/>
    <w:rsid w:val="00216ACD"/>
    <w:rsid w:val="0023044D"/>
    <w:rsid w:val="00230B46"/>
    <w:rsid w:val="0023306F"/>
    <w:rsid w:val="00234795"/>
    <w:rsid w:val="00236A75"/>
    <w:rsid w:val="00241C9C"/>
    <w:rsid w:val="00244106"/>
    <w:rsid w:val="00252632"/>
    <w:rsid w:val="00252971"/>
    <w:rsid w:val="0025543C"/>
    <w:rsid w:val="00257741"/>
    <w:rsid w:val="002703E3"/>
    <w:rsid w:val="00272D75"/>
    <w:rsid w:val="002805D1"/>
    <w:rsid w:val="00282B15"/>
    <w:rsid w:val="002A3F19"/>
    <w:rsid w:val="002A5D10"/>
    <w:rsid w:val="002B4893"/>
    <w:rsid w:val="002B7CFE"/>
    <w:rsid w:val="002C4FD3"/>
    <w:rsid w:val="002C5885"/>
    <w:rsid w:val="002D2BF3"/>
    <w:rsid w:val="002D32A6"/>
    <w:rsid w:val="002D3932"/>
    <w:rsid w:val="002D3B3C"/>
    <w:rsid w:val="002D441E"/>
    <w:rsid w:val="002D51A0"/>
    <w:rsid w:val="002D5FC8"/>
    <w:rsid w:val="002D734C"/>
    <w:rsid w:val="002E170E"/>
    <w:rsid w:val="002F159A"/>
    <w:rsid w:val="002F32C8"/>
    <w:rsid w:val="002F619F"/>
    <w:rsid w:val="00304A35"/>
    <w:rsid w:val="00306B48"/>
    <w:rsid w:val="00307C6E"/>
    <w:rsid w:val="00323FAB"/>
    <w:rsid w:val="00326F49"/>
    <w:rsid w:val="0033160E"/>
    <w:rsid w:val="003344E5"/>
    <w:rsid w:val="00343CDF"/>
    <w:rsid w:val="0034762D"/>
    <w:rsid w:val="00354771"/>
    <w:rsid w:val="003618B9"/>
    <w:rsid w:val="00367E1D"/>
    <w:rsid w:val="00370D17"/>
    <w:rsid w:val="0037158A"/>
    <w:rsid w:val="003724A3"/>
    <w:rsid w:val="00373E1E"/>
    <w:rsid w:val="00376174"/>
    <w:rsid w:val="00376E64"/>
    <w:rsid w:val="00376F89"/>
    <w:rsid w:val="003836F7"/>
    <w:rsid w:val="00386B6F"/>
    <w:rsid w:val="003944B3"/>
    <w:rsid w:val="00394EAD"/>
    <w:rsid w:val="003979ED"/>
    <w:rsid w:val="003A1F95"/>
    <w:rsid w:val="003A4513"/>
    <w:rsid w:val="003A70CA"/>
    <w:rsid w:val="003A78CE"/>
    <w:rsid w:val="003B02FC"/>
    <w:rsid w:val="003B272A"/>
    <w:rsid w:val="003B2E9A"/>
    <w:rsid w:val="003C0490"/>
    <w:rsid w:val="003C3686"/>
    <w:rsid w:val="003C467A"/>
    <w:rsid w:val="003C530E"/>
    <w:rsid w:val="003C5FBC"/>
    <w:rsid w:val="003C6B42"/>
    <w:rsid w:val="003E0AC8"/>
    <w:rsid w:val="003F179E"/>
    <w:rsid w:val="003F1822"/>
    <w:rsid w:val="003F2F5F"/>
    <w:rsid w:val="004002FB"/>
    <w:rsid w:val="00400F6B"/>
    <w:rsid w:val="00404830"/>
    <w:rsid w:val="00410620"/>
    <w:rsid w:val="00412CB5"/>
    <w:rsid w:val="00413039"/>
    <w:rsid w:val="00413F63"/>
    <w:rsid w:val="00414A4A"/>
    <w:rsid w:val="00414C05"/>
    <w:rsid w:val="004212B1"/>
    <w:rsid w:val="00432443"/>
    <w:rsid w:val="0043269B"/>
    <w:rsid w:val="004329B7"/>
    <w:rsid w:val="00434C85"/>
    <w:rsid w:val="00435786"/>
    <w:rsid w:val="004368C1"/>
    <w:rsid w:val="004378C2"/>
    <w:rsid w:val="00441C4F"/>
    <w:rsid w:val="004439E4"/>
    <w:rsid w:val="004453A8"/>
    <w:rsid w:val="004455A4"/>
    <w:rsid w:val="00447DB9"/>
    <w:rsid w:val="00447FB5"/>
    <w:rsid w:val="0045121D"/>
    <w:rsid w:val="004531C6"/>
    <w:rsid w:val="0045508C"/>
    <w:rsid w:val="0045749F"/>
    <w:rsid w:val="00461325"/>
    <w:rsid w:val="00476941"/>
    <w:rsid w:val="00486B11"/>
    <w:rsid w:val="0049064C"/>
    <w:rsid w:val="0049264D"/>
    <w:rsid w:val="00492CC2"/>
    <w:rsid w:val="00493CB2"/>
    <w:rsid w:val="004A2E72"/>
    <w:rsid w:val="004A4C4F"/>
    <w:rsid w:val="004A582A"/>
    <w:rsid w:val="004B2360"/>
    <w:rsid w:val="004B3E0A"/>
    <w:rsid w:val="004C0758"/>
    <w:rsid w:val="004C49B4"/>
    <w:rsid w:val="004C5BD6"/>
    <w:rsid w:val="004C7734"/>
    <w:rsid w:val="004D0905"/>
    <w:rsid w:val="004D1CE6"/>
    <w:rsid w:val="004D3DEF"/>
    <w:rsid w:val="004E0624"/>
    <w:rsid w:val="004E525C"/>
    <w:rsid w:val="004E5BA2"/>
    <w:rsid w:val="004E696C"/>
    <w:rsid w:val="004F18BA"/>
    <w:rsid w:val="004F2E17"/>
    <w:rsid w:val="004F4235"/>
    <w:rsid w:val="005010E9"/>
    <w:rsid w:val="005017E8"/>
    <w:rsid w:val="005024D1"/>
    <w:rsid w:val="005026C5"/>
    <w:rsid w:val="00503E3D"/>
    <w:rsid w:val="00504ED5"/>
    <w:rsid w:val="005053B6"/>
    <w:rsid w:val="00505476"/>
    <w:rsid w:val="00507CE8"/>
    <w:rsid w:val="00511DAE"/>
    <w:rsid w:val="00511FE9"/>
    <w:rsid w:val="005126DF"/>
    <w:rsid w:val="00514428"/>
    <w:rsid w:val="00515F88"/>
    <w:rsid w:val="00522617"/>
    <w:rsid w:val="0052466C"/>
    <w:rsid w:val="00524788"/>
    <w:rsid w:val="0052609C"/>
    <w:rsid w:val="00530B92"/>
    <w:rsid w:val="00532181"/>
    <w:rsid w:val="00532884"/>
    <w:rsid w:val="00533228"/>
    <w:rsid w:val="00533F11"/>
    <w:rsid w:val="00537CBC"/>
    <w:rsid w:val="00537F23"/>
    <w:rsid w:val="00540236"/>
    <w:rsid w:val="0054270D"/>
    <w:rsid w:val="00542C91"/>
    <w:rsid w:val="005434EA"/>
    <w:rsid w:val="00544C38"/>
    <w:rsid w:val="005461CA"/>
    <w:rsid w:val="00547E16"/>
    <w:rsid w:val="00552A9E"/>
    <w:rsid w:val="005551CD"/>
    <w:rsid w:val="00556DB7"/>
    <w:rsid w:val="00560C29"/>
    <w:rsid w:val="00563F49"/>
    <w:rsid w:val="0056542A"/>
    <w:rsid w:val="00571326"/>
    <w:rsid w:val="00575D4E"/>
    <w:rsid w:val="00576394"/>
    <w:rsid w:val="00586DC9"/>
    <w:rsid w:val="00587D72"/>
    <w:rsid w:val="00590C06"/>
    <w:rsid w:val="00592E6D"/>
    <w:rsid w:val="00594827"/>
    <w:rsid w:val="005953D3"/>
    <w:rsid w:val="005A4C01"/>
    <w:rsid w:val="005A5B5E"/>
    <w:rsid w:val="005B2699"/>
    <w:rsid w:val="005B4329"/>
    <w:rsid w:val="005B7E56"/>
    <w:rsid w:val="005D79C2"/>
    <w:rsid w:val="005E166B"/>
    <w:rsid w:val="005E27C8"/>
    <w:rsid w:val="005F3228"/>
    <w:rsid w:val="005F53AE"/>
    <w:rsid w:val="0060097B"/>
    <w:rsid w:val="00602D41"/>
    <w:rsid w:val="00605BC5"/>
    <w:rsid w:val="00612D84"/>
    <w:rsid w:val="00615468"/>
    <w:rsid w:val="00616854"/>
    <w:rsid w:val="0061714F"/>
    <w:rsid w:val="00620DEB"/>
    <w:rsid w:val="0062137D"/>
    <w:rsid w:val="00624177"/>
    <w:rsid w:val="00624365"/>
    <w:rsid w:val="00625B07"/>
    <w:rsid w:val="00635CE2"/>
    <w:rsid w:val="00636682"/>
    <w:rsid w:val="00637594"/>
    <w:rsid w:val="00637862"/>
    <w:rsid w:val="00637A3B"/>
    <w:rsid w:val="00641338"/>
    <w:rsid w:val="00644946"/>
    <w:rsid w:val="006471A4"/>
    <w:rsid w:val="00651996"/>
    <w:rsid w:val="00651F63"/>
    <w:rsid w:val="00652B7C"/>
    <w:rsid w:val="00654892"/>
    <w:rsid w:val="0065661E"/>
    <w:rsid w:val="00657B1E"/>
    <w:rsid w:val="006666AC"/>
    <w:rsid w:val="00672341"/>
    <w:rsid w:val="0067238D"/>
    <w:rsid w:val="00673885"/>
    <w:rsid w:val="00674187"/>
    <w:rsid w:val="00684B54"/>
    <w:rsid w:val="006878C2"/>
    <w:rsid w:val="0069031C"/>
    <w:rsid w:val="00694650"/>
    <w:rsid w:val="00696760"/>
    <w:rsid w:val="00697D32"/>
    <w:rsid w:val="006A0890"/>
    <w:rsid w:val="006A31DE"/>
    <w:rsid w:val="006A3C88"/>
    <w:rsid w:val="006A5E74"/>
    <w:rsid w:val="006A6F7F"/>
    <w:rsid w:val="006B0230"/>
    <w:rsid w:val="006B04AA"/>
    <w:rsid w:val="006B0DA1"/>
    <w:rsid w:val="006C03F0"/>
    <w:rsid w:val="006D173E"/>
    <w:rsid w:val="006D6F8E"/>
    <w:rsid w:val="006D706F"/>
    <w:rsid w:val="006E036C"/>
    <w:rsid w:val="006E2791"/>
    <w:rsid w:val="006E3121"/>
    <w:rsid w:val="006E385F"/>
    <w:rsid w:val="006E58F9"/>
    <w:rsid w:val="006E7EBA"/>
    <w:rsid w:val="006F1FD0"/>
    <w:rsid w:val="006F3A2C"/>
    <w:rsid w:val="006F3BDF"/>
    <w:rsid w:val="006F5FC5"/>
    <w:rsid w:val="006F7BE6"/>
    <w:rsid w:val="00710D3A"/>
    <w:rsid w:val="00710DAA"/>
    <w:rsid w:val="00710E81"/>
    <w:rsid w:val="0071274C"/>
    <w:rsid w:val="00732F9F"/>
    <w:rsid w:val="00734D65"/>
    <w:rsid w:val="00744CAC"/>
    <w:rsid w:val="0074562C"/>
    <w:rsid w:val="007469A8"/>
    <w:rsid w:val="00756DAE"/>
    <w:rsid w:val="0076346F"/>
    <w:rsid w:val="0076369A"/>
    <w:rsid w:val="007644BE"/>
    <w:rsid w:val="00764D85"/>
    <w:rsid w:val="00770C72"/>
    <w:rsid w:val="00771186"/>
    <w:rsid w:val="0077257E"/>
    <w:rsid w:val="00780084"/>
    <w:rsid w:val="0078214B"/>
    <w:rsid w:val="00783279"/>
    <w:rsid w:val="0078421C"/>
    <w:rsid w:val="007929BC"/>
    <w:rsid w:val="00793A3E"/>
    <w:rsid w:val="0079648F"/>
    <w:rsid w:val="00796FA0"/>
    <w:rsid w:val="00797BB1"/>
    <w:rsid w:val="007A0B28"/>
    <w:rsid w:val="007A0F5B"/>
    <w:rsid w:val="007B5BC6"/>
    <w:rsid w:val="007B6060"/>
    <w:rsid w:val="007B6F1A"/>
    <w:rsid w:val="007C5C89"/>
    <w:rsid w:val="007D1371"/>
    <w:rsid w:val="007D3C91"/>
    <w:rsid w:val="007D6394"/>
    <w:rsid w:val="007D7F83"/>
    <w:rsid w:val="007E1A0C"/>
    <w:rsid w:val="007F480E"/>
    <w:rsid w:val="007F4D0B"/>
    <w:rsid w:val="007F7BDE"/>
    <w:rsid w:val="0080012A"/>
    <w:rsid w:val="0080549F"/>
    <w:rsid w:val="0081263B"/>
    <w:rsid w:val="0081401B"/>
    <w:rsid w:val="00815CC1"/>
    <w:rsid w:val="0082019C"/>
    <w:rsid w:val="00831DD7"/>
    <w:rsid w:val="0083239A"/>
    <w:rsid w:val="00833A4F"/>
    <w:rsid w:val="0084374A"/>
    <w:rsid w:val="008451BB"/>
    <w:rsid w:val="00847EBD"/>
    <w:rsid w:val="008523AA"/>
    <w:rsid w:val="00853EFC"/>
    <w:rsid w:val="0087460E"/>
    <w:rsid w:val="00880835"/>
    <w:rsid w:val="008827AC"/>
    <w:rsid w:val="00883287"/>
    <w:rsid w:val="0088373F"/>
    <w:rsid w:val="008900D8"/>
    <w:rsid w:val="00891AD8"/>
    <w:rsid w:val="00891CD0"/>
    <w:rsid w:val="0089266F"/>
    <w:rsid w:val="00894568"/>
    <w:rsid w:val="008A2A22"/>
    <w:rsid w:val="008A3CD1"/>
    <w:rsid w:val="008A548C"/>
    <w:rsid w:val="008B02D7"/>
    <w:rsid w:val="008C0327"/>
    <w:rsid w:val="008C583A"/>
    <w:rsid w:val="008C5B5F"/>
    <w:rsid w:val="008C6EB4"/>
    <w:rsid w:val="008C7462"/>
    <w:rsid w:val="008D2FBC"/>
    <w:rsid w:val="008D6C58"/>
    <w:rsid w:val="008E7140"/>
    <w:rsid w:val="008F0C5C"/>
    <w:rsid w:val="008F21F0"/>
    <w:rsid w:val="008F2253"/>
    <w:rsid w:val="008F2F4F"/>
    <w:rsid w:val="008F3EAC"/>
    <w:rsid w:val="00900347"/>
    <w:rsid w:val="00903568"/>
    <w:rsid w:val="009043B5"/>
    <w:rsid w:val="009074BF"/>
    <w:rsid w:val="00912FE3"/>
    <w:rsid w:val="009134BF"/>
    <w:rsid w:val="00927F00"/>
    <w:rsid w:val="009321CB"/>
    <w:rsid w:val="00935805"/>
    <w:rsid w:val="00942335"/>
    <w:rsid w:val="00943D2F"/>
    <w:rsid w:val="009443E5"/>
    <w:rsid w:val="00944938"/>
    <w:rsid w:val="00944B5C"/>
    <w:rsid w:val="00950F43"/>
    <w:rsid w:val="009517F2"/>
    <w:rsid w:val="009561F6"/>
    <w:rsid w:val="009608C3"/>
    <w:rsid w:val="0096113D"/>
    <w:rsid w:val="00962D2E"/>
    <w:rsid w:val="0096342D"/>
    <w:rsid w:val="00964939"/>
    <w:rsid w:val="0096516C"/>
    <w:rsid w:val="00970DC9"/>
    <w:rsid w:val="00975185"/>
    <w:rsid w:val="009755F6"/>
    <w:rsid w:val="0097784C"/>
    <w:rsid w:val="00981D94"/>
    <w:rsid w:val="00983A9F"/>
    <w:rsid w:val="00987468"/>
    <w:rsid w:val="009924D9"/>
    <w:rsid w:val="00993A6D"/>
    <w:rsid w:val="00993BF5"/>
    <w:rsid w:val="009968C7"/>
    <w:rsid w:val="009A114C"/>
    <w:rsid w:val="009A5476"/>
    <w:rsid w:val="009B38BB"/>
    <w:rsid w:val="009B595E"/>
    <w:rsid w:val="009C0637"/>
    <w:rsid w:val="009C5513"/>
    <w:rsid w:val="009D073A"/>
    <w:rsid w:val="009D09C7"/>
    <w:rsid w:val="009D2771"/>
    <w:rsid w:val="009D36CE"/>
    <w:rsid w:val="009E1E9B"/>
    <w:rsid w:val="009E300A"/>
    <w:rsid w:val="009E3CAF"/>
    <w:rsid w:val="009E47E3"/>
    <w:rsid w:val="009F0104"/>
    <w:rsid w:val="009F0F92"/>
    <w:rsid w:val="009F2D05"/>
    <w:rsid w:val="009F2E69"/>
    <w:rsid w:val="009F681A"/>
    <w:rsid w:val="009F6B17"/>
    <w:rsid w:val="00A018DA"/>
    <w:rsid w:val="00A032F5"/>
    <w:rsid w:val="00A03527"/>
    <w:rsid w:val="00A16F86"/>
    <w:rsid w:val="00A173C6"/>
    <w:rsid w:val="00A17A22"/>
    <w:rsid w:val="00A25169"/>
    <w:rsid w:val="00A26E4F"/>
    <w:rsid w:val="00A3001E"/>
    <w:rsid w:val="00A32EAB"/>
    <w:rsid w:val="00A336F7"/>
    <w:rsid w:val="00A3406D"/>
    <w:rsid w:val="00A342A7"/>
    <w:rsid w:val="00A41572"/>
    <w:rsid w:val="00A42498"/>
    <w:rsid w:val="00A46A56"/>
    <w:rsid w:val="00A63E98"/>
    <w:rsid w:val="00A64DD9"/>
    <w:rsid w:val="00A6635D"/>
    <w:rsid w:val="00A6639A"/>
    <w:rsid w:val="00A70873"/>
    <w:rsid w:val="00A7091D"/>
    <w:rsid w:val="00A71159"/>
    <w:rsid w:val="00A7319D"/>
    <w:rsid w:val="00A74860"/>
    <w:rsid w:val="00A81ABA"/>
    <w:rsid w:val="00A82DE2"/>
    <w:rsid w:val="00A830A3"/>
    <w:rsid w:val="00A86C49"/>
    <w:rsid w:val="00A86F18"/>
    <w:rsid w:val="00A9168A"/>
    <w:rsid w:val="00A933B8"/>
    <w:rsid w:val="00A93C3E"/>
    <w:rsid w:val="00A958EA"/>
    <w:rsid w:val="00A97942"/>
    <w:rsid w:val="00AA0C58"/>
    <w:rsid w:val="00AA24DA"/>
    <w:rsid w:val="00AA7C01"/>
    <w:rsid w:val="00AB20E4"/>
    <w:rsid w:val="00AB24A6"/>
    <w:rsid w:val="00AB7517"/>
    <w:rsid w:val="00AB7E9C"/>
    <w:rsid w:val="00AC6117"/>
    <w:rsid w:val="00AD291C"/>
    <w:rsid w:val="00AD5F4A"/>
    <w:rsid w:val="00AE146B"/>
    <w:rsid w:val="00AF6E2F"/>
    <w:rsid w:val="00AF7E3B"/>
    <w:rsid w:val="00B0057E"/>
    <w:rsid w:val="00B009A1"/>
    <w:rsid w:val="00B0266F"/>
    <w:rsid w:val="00B02DD1"/>
    <w:rsid w:val="00B06C91"/>
    <w:rsid w:val="00B164BA"/>
    <w:rsid w:val="00B210A6"/>
    <w:rsid w:val="00B24FEE"/>
    <w:rsid w:val="00B25854"/>
    <w:rsid w:val="00B266DF"/>
    <w:rsid w:val="00B31073"/>
    <w:rsid w:val="00B320E8"/>
    <w:rsid w:val="00B33202"/>
    <w:rsid w:val="00B3567F"/>
    <w:rsid w:val="00B3740E"/>
    <w:rsid w:val="00B42EE7"/>
    <w:rsid w:val="00B43EC7"/>
    <w:rsid w:val="00B44479"/>
    <w:rsid w:val="00B531F0"/>
    <w:rsid w:val="00B54264"/>
    <w:rsid w:val="00B5726C"/>
    <w:rsid w:val="00B577D5"/>
    <w:rsid w:val="00B60E4E"/>
    <w:rsid w:val="00B62DBF"/>
    <w:rsid w:val="00B639E3"/>
    <w:rsid w:val="00B64A0F"/>
    <w:rsid w:val="00B64C8C"/>
    <w:rsid w:val="00B658F5"/>
    <w:rsid w:val="00B66A6B"/>
    <w:rsid w:val="00B707A2"/>
    <w:rsid w:val="00B748B9"/>
    <w:rsid w:val="00B836D1"/>
    <w:rsid w:val="00B84624"/>
    <w:rsid w:val="00B902E3"/>
    <w:rsid w:val="00B92119"/>
    <w:rsid w:val="00B9532E"/>
    <w:rsid w:val="00BA11EE"/>
    <w:rsid w:val="00BA32A7"/>
    <w:rsid w:val="00BB0266"/>
    <w:rsid w:val="00BB4CED"/>
    <w:rsid w:val="00BB50DA"/>
    <w:rsid w:val="00BB60FF"/>
    <w:rsid w:val="00BC20D1"/>
    <w:rsid w:val="00BC71EC"/>
    <w:rsid w:val="00BD061C"/>
    <w:rsid w:val="00BD0DAF"/>
    <w:rsid w:val="00BD4CB3"/>
    <w:rsid w:val="00BD6A0E"/>
    <w:rsid w:val="00BD7C1C"/>
    <w:rsid w:val="00BE22CA"/>
    <w:rsid w:val="00BE3ABB"/>
    <w:rsid w:val="00BE6389"/>
    <w:rsid w:val="00BF22FB"/>
    <w:rsid w:val="00BF2B36"/>
    <w:rsid w:val="00C02281"/>
    <w:rsid w:val="00C03C99"/>
    <w:rsid w:val="00C05AF1"/>
    <w:rsid w:val="00C074A2"/>
    <w:rsid w:val="00C142EA"/>
    <w:rsid w:val="00C1487D"/>
    <w:rsid w:val="00C14D7C"/>
    <w:rsid w:val="00C1720F"/>
    <w:rsid w:val="00C177C1"/>
    <w:rsid w:val="00C250B3"/>
    <w:rsid w:val="00C27913"/>
    <w:rsid w:val="00C32219"/>
    <w:rsid w:val="00C32918"/>
    <w:rsid w:val="00C32A5E"/>
    <w:rsid w:val="00C37545"/>
    <w:rsid w:val="00C40370"/>
    <w:rsid w:val="00C40C4C"/>
    <w:rsid w:val="00C40D81"/>
    <w:rsid w:val="00C42A49"/>
    <w:rsid w:val="00C43A2B"/>
    <w:rsid w:val="00C44826"/>
    <w:rsid w:val="00C45CA5"/>
    <w:rsid w:val="00C519C2"/>
    <w:rsid w:val="00C749D8"/>
    <w:rsid w:val="00C74E66"/>
    <w:rsid w:val="00C76309"/>
    <w:rsid w:val="00C774A3"/>
    <w:rsid w:val="00C77EE2"/>
    <w:rsid w:val="00C807C2"/>
    <w:rsid w:val="00C8193E"/>
    <w:rsid w:val="00C85C5C"/>
    <w:rsid w:val="00C864EB"/>
    <w:rsid w:val="00C9216D"/>
    <w:rsid w:val="00CA0B09"/>
    <w:rsid w:val="00CA2A3B"/>
    <w:rsid w:val="00CA2E6C"/>
    <w:rsid w:val="00CA5665"/>
    <w:rsid w:val="00CB4113"/>
    <w:rsid w:val="00CB4ABE"/>
    <w:rsid w:val="00CB4CF4"/>
    <w:rsid w:val="00CC36A2"/>
    <w:rsid w:val="00CD3268"/>
    <w:rsid w:val="00CE0487"/>
    <w:rsid w:val="00CE18AB"/>
    <w:rsid w:val="00CF04FC"/>
    <w:rsid w:val="00CF38FB"/>
    <w:rsid w:val="00CF4A1A"/>
    <w:rsid w:val="00CF5A9B"/>
    <w:rsid w:val="00D00F97"/>
    <w:rsid w:val="00D01357"/>
    <w:rsid w:val="00D02ACF"/>
    <w:rsid w:val="00D05B40"/>
    <w:rsid w:val="00D10C1B"/>
    <w:rsid w:val="00D176CD"/>
    <w:rsid w:val="00D21172"/>
    <w:rsid w:val="00D218C8"/>
    <w:rsid w:val="00D237FB"/>
    <w:rsid w:val="00D251A1"/>
    <w:rsid w:val="00D274E0"/>
    <w:rsid w:val="00D35DE0"/>
    <w:rsid w:val="00D46B4E"/>
    <w:rsid w:val="00D51278"/>
    <w:rsid w:val="00D5198D"/>
    <w:rsid w:val="00D55688"/>
    <w:rsid w:val="00D6060B"/>
    <w:rsid w:val="00D6139A"/>
    <w:rsid w:val="00D63E4D"/>
    <w:rsid w:val="00D739D7"/>
    <w:rsid w:val="00D73ACA"/>
    <w:rsid w:val="00D74D10"/>
    <w:rsid w:val="00D80911"/>
    <w:rsid w:val="00D82035"/>
    <w:rsid w:val="00D82772"/>
    <w:rsid w:val="00D841C4"/>
    <w:rsid w:val="00D85BC3"/>
    <w:rsid w:val="00D861B4"/>
    <w:rsid w:val="00D86CDB"/>
    <w:rsid w:val="00D97A52"/>
    <w:rsid w:val="00D97F8D"/>
    <w:rsid w:val="00DA0A3D"/>
    <w:rsid w:val="00DA2006"/>
    <w:rsid w:val="00DA6D62"/>
    <w:rsid w:val="00DA7F4B"/>
    <w:rsid w:val="00DB6CB6"/>
    <w:rsid w:val="00DC200C"/>
    <w:rsid w:val="00DC3369"/>
    <w:rsid w:val="00DD2122"/>
    <w:rsid w:val="00DD2912"/>
    <w:rsid w:val="00DD2BB9"/>
    <w:rsid w:val="00DD44EF"/>
    <w:rsid w:val="00DD4B5B"/>
    <w:rsid w:val="00DD5D8F"/>
    <w:rsid w:val="00DD5E1F"/>
    <w:rsid w:val="00DD6D80"/>
    <w:rsid w:val="00DD755A"/>
    <w:rsid w:val="00DE0DB8"/>
    <w:rsid w:val="00DE4775"/>
    <w:rsid w:val="00DE7FFC"/>
    <w:rsid w:val="00DF0408"/>
    <w:rsid w:val="00DF2849"/>
    <w:rsid w:val="00DF491D"/>
    <w:rsid w:val="00DF6E36"/>
    <w:rsid w:val="00DF6FDE"/>
    <w:rsid w:val="00E0596F"/>
    <w:rsid w:val="00E06E78"/>
    <w:rsid w:val="00E10F9E"/>
    <w:rsid w:val="00E12EF3"/>
    <w:rsid w:val="00E16AF7"/>
    <w:rsid w:val="00E16FC7"/>
    <w:rsid w:val="00E17829"/>
    <w:rsid w:val="00E22750"/>
    <w:rsid w:val="00E233D6"/>
    <w:rsid w:val="00E307B1"/>
    <w:rsid w:val="00E3118A"/>
    <w:rsid w:val="00E346E5"/>
    <w:rsid w:val="00E347C7"/>
    <w:rsid w:val="00E35F61"/>
    <w:rsid w:val="00E3639A"/>
    <w:rsid w:val="00E36879"/>
    <w:rsid w:val="00E456F3"/>
    <w:rsid w:val="00E50661"/>
    <w:rsid w:val="00E5124E"/>
    <w:rsid w:val="00E5273A"/>
    <w:rsid w:val="00E56414"/>
    <w:rsid w:val="00E56CE4"/>
    <w:rsid w:val="00E60BB3"/>
    <w:rsid w:val="00E6296F"/>
    <w:rsid w:val="00E65CFC"/>
    <w:rsid w:val="00E7341A"/>
    <w:rsid w:val="00E74AA0"/>
    <w:rsid w:val="00E76372"/>
    <w:rsid w:val="00E77567"/>
    <w:rsid w:val="00E81B90"/>
    <w:rsid w:val="00E84CA4"/>
    <w:rsid w:val="00E854B7"/>
    <w:rsid w:val="00E860F8"/>
    <w:rsid w:val="00E913A2"/>
    <w:rsid w:val="00E940EC"/>
    <w:rsid w:val="00E9472B"/>
    <w:rsid w:val="00EA36B1"/>
    <w:rsid w:val="00EA49F6"/>
    <w:rsid w:val="00EA5122"/>
    <w:rsid w:val="00EA6FE5"/>
    <w:rsid w:val="00EA7117"/>
    <w:rsid w:val="00EB01E7"/>
    <w:rsid w:val="00EB5E19"/>
    <w:rsid w:val="00EB7612"/>
    <w:rsid w:val="00EC13FF"/>
    <w:rsid w:val="00EC4C94"/>
    <w:rsid w:val="00EC51CA"/>
    <w:rsid w:val="00EC6E43"/>
    <w:rsid w:val="00EC7987"/>
    <w:rsid w:val="00EC7A39"/>
    <w:rsid w:val="00ED0DDE"/>
    <w:rsid w:val="00ED38CB"/>
    <w:rsid w:val="00ED3D51"/>
    <w:rsid w:val="00ED4376"/>
    <w:rsid w:val="00ED787F"/>
    <w:rsid w:val="00EE1A41"/>
    <w:rsid w:val="00EE4506"/>
    <w:rsid w:val="00EE6312"/>
    <w:rsid w:val="00EE7DFB"/>
    <w:rsid w:val="00EE7FAD"/>
    <w:rsid w:val="00EF58F7"/>
    <w:rsid w:val="00EF64C9"/>
    <w:rsid w:val="00EF7E1D"/>
    <w:rsid w:val="00F00CC4"/>
    <w:rsid w:val="00F03BEE"/>
    <w:rsid w:val="00F03EF9"/>
    <w:rsid w:val="00F04FEC"/>
    <w:rsid w:val="00F05385"/>
    <w:rsid w:val="00F05D5D"/>
    <w:rsid w:val="00F101AB"/>
    <w:rsid w:val="00F11F83"/>
    <w:rsid w:val="00F12AFC"/>
    <w:rsid w:val="00F17AC8"/>
    <w:rsid w:val="00F26F1D"/>
    <w:rsid w:val="00F3046A"/>
    <w:rsid w:val="00F35C55"/>
    <w:rsid w:val="00F372BA"/>
    <w:rsid w:val="00F409B8"/>
    <w:rsid w:val="00F40B31"/>
    <w:rsid w:val="00F40EF7"/>
    <w:rsid w:val="00F4167A"/>
    <w:rsid w:val="00F44E23"/>
    <w:rsid w:val="00F502A0"/>
    <w:rsid w:val="00F50D6E"/>
    <w:rsid w:val="00F52B73"/>
    <w:rsid w:val="00F54F8C"/>
    <w:rsid w:val="00F63744"/>
    <w:rsid w:val="00F73FA3"/>
    <w:rsid w:val="00F77E3A"/>
    <w:rsid w:val="00F80803"/>
    <w:rsid w:val="00F81147"/>
    <w:rsid w:val="00F81948"/>
    <w:rsid w:val="00F8639D"/>
    <w:rsid w:val="00F943D7"/>
    <w:rsid w:val="00F9787F"/>
    <w:rsid w:val="00FB0883"/>
    <w:rsid w:val="00FB0F92"/>
    <w:rsid w:val="00FB1D7F"/>
    <w:rsid w:val="00FB45AB"/>
    <w:rsid w:val="00FC0750"/>
    <w:rsid w:val="00FC3563"/>
    <w:rsid w:val="00FC3F0C"/>
    <w:rsid w:val="00FC4A41"/>
    <w:rsid w:val="00FD1728"/>
    <w:rsid w:val="00FD17CD"/>
    <w:rsid w:val="00FD1CAE"/>
    <w:rsid w:val="00FD2CB0"/>
    <w:rsid w:val="00FD37A3"/>
    <w:rsid w:val="00FD3A16"/>
    <w:rsid w:val="00FD5F42"/>
    <w:rsid w:val="00FD5FFF"/>
    <w:rsid w:val="00FE3248"/>
    <w:rsid w:val="00FE6D85"/>
    <w:rsid w:val="00FF065E"/>
    <w:rsid w:val="00FF22A1"/>
    <w:rsid w:val="00FF2697"/>
    <w:rsid w:val="00FF2718"/>
    <w:rsid w:val="00FF3484"/>
    <w:rsid w:val="00FF57F4"/>
    <w:rsid w:val="00FF761D"/>
    <w:rsid w:val="00FF7ABB"/>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paragraph" w:styleId="Heading2">
    <w:name w:val="heading 2"/>
    <w:basedOn w:val="Normal"/>
    <w:next w:val="Normal"/>
    <w:link w:val="Heading2Char"/>
    <w:uiPriority w:val="9"/>
    <w:unhideWhenUsed/>
    <w:qFormat/>
    <w:rsid w:val="0045749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3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unhideWhenUsed/>
    <w:rsid w:val="00000A3B"/>
    <w:pPr>
      <w:spacing w:after="160"/>
    </w:pPr>
    <w:rPr>
      <w:sz w:val="20"/>
      <w:szCs w:val="20"/>
    </w:rPr>
  </w:style>
  <w:style w:type="character" w:customStyle="1" w:styleId="CommentTextChar">
    <w:name w:val="Comment Text Char"/>
    <w:basedOn w:val="DefaultParagraphFont"/>
    <w:link w:val="CommentText"/>
    <w:uiPriority w:val="99"/>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 w:type="paragraph" w:styleId="Revision">
    <w:name w:val="Revision"/>
    <w:hidden/>
    <w:uiPriority w:val="99"/>
    <w:semiHidden/>
    <w:rsid w:val="009E300A"/>
  </w:style>
  <w:style w:type="paragraph" w:styleId="FootnoteText">
    <w:name w:val="footnote text"/>
    <w:basedOn w:val="Normal"/>
    <w:link w:val="FootnoteTextChar"/>
    <w:uiPriority w:val="99"/>
    <w:semiHidden/>
    <w:unhideWhenUsed/>
    <w:rsid w:val="00354771"/>
    <w:rPr>
      <w:sz w:val="20"/>
      <w:szCs w:val="20"/>
    </w:rPr>
  </w:style>
  <w:style w:type="character" w:customStyle="1" w:styleId="FootnoteTextChar">
    <w:name w:val="Footnote Text Char"/>
    <w:basedOn w:val="DefaultParagraphFont"/>
    <w:link w:val="FootnoteText"/>
    <w:uiPriority w:val="99"/>
    <w:semiHidden/>
    <w:rsid w:val="00354771"/>
    <w:rPr>
      <w:sz w:val="20"/>
      <w:szCs w:val="20"/>
    </w:rPr>
  </w:style>
  <w:style w:type="character" w:styleId="FootnoteReference">
    <w:name w:val="footnote reference"/>
    <w:basedOn w:val="DefaultParagraphFont"/>
    <w:uiPriority w:val="99"/>
    <w:semiHidden/>
    <w:unhideWhenUsed/>
    <w:rsid w:val="00354771"/>
    <w:rPr>
      <w:vertAlign w:val="superscript"/>
    </w:rPr>
  </w:style>
  <w:style w:type="character" w:customStyle="1" w:styleId="Heading2Char">
    <w:name w:val="Heading 2 Char"/>
    <w:basedOn w:val="DefaultParagraphFont"/>
    <w:link w:val="Heading2"/>
    <w:uiPriority w:val="9"/>
    <w:rsid w:val="0045749F"/>
    <w:rPr>
      <w:rFonts w:asciiTheme="majorHAnsi" w:eastAsiaTheme="majorEastAsia" w:hAnsiTheme="majorHAnsi" w:cstheme="majorBidi"/>
      <w:color w:val="2F5496" w:themeColor="accent1" w:themeShade="BF"/>
      <w:sz w:val="26"/>
      <w:szCs w:val="26"/>
    </w:rPr>
  </w:style>
  <w:style w:type="character" w:customStyle="1" w:styleId="superscript">
    <w:name w:val="superscript"/>
    <w:basedOn w:val="DefaultParagraphFont"/>
    <w:rsid w:val="003B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835">
      <w:bodyDiv w:val="1"/>
      <w:marLeft w:val="0"/>
      <w:marRight w:val="0"/>
      <w:marTop w:val="0"/>
      <w:marBottom w:val="0"/>
      <w:divBdr>
        <w:top w:val="none" w:sz="0" w:space="0" w:color="auto"/>
        <w:left w:val="none" w:sz="0" w:space="0" w:color="auto"/>
        <w:bottom w:val="none" w:sz="0" w:space="0" w:color="auto"/>
        <w:right w:val="none" w:sz="0" w:space="0" w:color="auto"/>
      </w:divBdr>
    </w:div>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113984697">
      <w:bodyDiv w:val="1"/>
      <w:marLeft w:val="0"/>
      <w:marRight w:val="0"/>
      <w:marTop w:val="0"/>
      <w:marBottom w:val="0"/>
      <w:divBdr>
        <w:top w:val="none" w:sz="0" w:space="0" w:color="auto"/>
        <w:left w:val="none" w:sz="0" w:space="0" w:color="auto"/>
        <w:bottom w:val="none" w:sz="0" w:space="0" w:color="auto"/>
        <w:right w:val="none" w:sz="0" w:space="0" w:color="auto"/>
      </w:divBdr>
      <w:divsChild>
        <w:div w:id="1260455469">
          <w:marLeft w:val="0"/>
          <w:marRight w:val="0"/>
          <w:marTop w:val="0"/>
          <w:marBottom w:val="0"/>
          <w:divBdr>
            <w:top w:val="none" w:sz="0" w:space="0" w:color="auto"/>
            <w:left w:val="none" w:sz="0" w:space="0" w:color="auto"/>
            <w:bottom w:val="none" w:sz="0" w:space="0" w:color="auto"/>
            <w:right w:val="none" w:sz="0" w:space="0" w:color="auto"/>
          </w:divBdr>
        </w:div>
        <w:div w:id="1690522947">
          <w:marLeft w:val="0"/>
          <w:marRight w:val="0"/>
          <w:marTop w:val="0"/>
          <w:marBottom w:val="0"/>
          <w:divBdr>
            <w:top w:val="none" w:sz="0" w:space="0" w:color="auto"/>
            <w:left w:val="none" w:sz="0" w:space="0" w:color="auto"/>
            <w:bottom w:val="none" w:sz="0" w:space="0" w:color="auto"/>
            <w:right w:val="none" w:sz="0" w:space="0" w:color="auto"/>
          </w:divBdr>
        </w:div>
        <w:div w:id="491412823">
          <w:marLeft w:val="0"/>
          <w:marRight w:val="0"/>
          <w:marTop w:val="0"/>
          <w:marBottom w:val="0"/>
          <w:divBdr>
            <w:top w:val="none" w:sz="0" w:space="0" w:color="auto"/>
            <w:left w:val="none" w:sz="0" w:space="0" w:color="auto"/>
            <w:bottom w:val="none" w:sz="0" w:space="0" w:color="auto"/>
            <w:right w:val="none" w:sz="0" w:space="0" w:color="auto"/>
          </w:divBdr>
        </w:div>
      </w:divsChild>
    </w:div>
    <w:div w:id="271399862">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511066853">
      <w:bodyDiv w:val="1"/>
      <w:marLeft w:val="0"/>
      <w:marRight w:val="0"/>
      <w:marTop w:val="0"/>
      <w:marBottom w:val="0"/>
      <w:divBdr>
        <w:top w:val="none" w:sz="0" w:space="0" w:color="auto"/>
        <w:left w:val="none" w:sz="0" w:space="0" w:color="auto"/>
        <w:bottom w:val="none" w:sz="0" w:space="0" w:color="auto"/>
        <w:right w:val="none" w:sz="0" w:space="0" w:color="auto"/>
      </w:divBdr>
      <w:divsChild>
        <w:div w:id="852379593">
          <w:marLeft w:val="0"/>
          <w:marRight w:val="0"/>
          <w:marTop w:val="0"/>
          <w:marBottom w:val="0"/>
          <w:divBdr>
            <w:top w:val="none" w:sz="0" w:space="0" w:color="auto"/>
            <w:left w:val="none" w:sz="0" w:space="0" w:color="auto"/>
            <w:bottom w:val="none" w:sz="0" w:space="0" w:color="auto"/>
            <w:right w:val="none" w:sz="0" w:space="0" w:color="auto"/>
          </w:divBdr>
        </w:div>
        <w:div w:id="237714641">
          <w:marLeft w:val="0"/>
          <w:marRight w:val="0"/>
          <w:marTop w:val="0"/>
          <w:marBottom w:val="0"/>
          <w:divBdr>
            <w:top w:val="none" w:sz="0" w:space="0" w:color="auto"/>
            <w:left w:val="none" w:sz="0" w:space="0" w:color="auto"/>
            <w:bottom w:val="none" w:sz="0" w:space="0" w:color="auto"/>
            <w:right w:val="none" w:sz="0" w:space="0" w:color="auto"/>
          </w:divBdr>
        </w:div>
        <w:div w:id="1016073768">
          <w:marLeft w:val="0"/>
          <w:marRight w:val="0"/>
          <w:marTop w:val="0"/>
          <w:marBottom w:val="0"/>
          <w:divBdr>
            <w:top w:val="none" w:sz="0" w:space="0" w:color="auto"/>
            <w:left w:val="none" w:sz="0" w:space="0" w:color="auto"/>
            <w:bottom w:val="none" w:sz="0" w:space="0" w:color="auto"/>
            <w:right w:val="none" w:sz="0" w:space="0" w:color="auto"/>
          </w:divBdr>
        </w:div>
      </w:divsChild>
    </w:div>
    <w:div w:id="744181573">
      <w:bodyDiv w:val="1"/>
      <w:marLeft w:val="0"/>
      <w:marRight w:val="0"/>
      <w:marTop w:val="0"/>
      <w:marBottom w:val="0"/>
      <w:divBdr>
        <w:top w:val="none" w:sz="0" w:space="0" w:color="auto"/>
        <w:left w:val="none" w:sz="0" w:space="0" w:color="auto"/>
        <w:bottom w:val="none" w:sz="0" w:space="0" w:color="auto"/>
        <w:right w:val="none" w:sz="0" w:space="0" w:color="auto"/>
      </w:divBdr>
      <w:divsChild>
        <w:div w:id="137036692">
          <w:marLeft w:val="0"/>
          <w:marRight w:val="0"/>
          <w:marTop w:val="0"/>
          <w:marBottom w:val="0"/>
          <w:divBdr>
            <w:top w:val="none" w:sz="0" w:space="0" w:color="auto"/>
            <w:left w:val="none" w:sz="0" w:space="0" w:color="auto"/>
            <w:bottom w:val="none" w:sz="0" w:space="0" w:color="auto"/>
            <w:right w:val="none" w:sz="0" w:space="0" w:color="auto"/>
          </w:divBdr>
        </w:div>
        <w:div w:id="1271547248">
          <w:marLeft w:val="0"/>
          <w:marRight w:val="0"/>
          <w:marTop w:val="0"/>
          <w:marBottom w:val="0"/>
          <w:divBdr>
            <w:top w:val="none" w:sz="0" w:space="0" w:color="auto"/>
            <w:left w:val="none" w:sz="0" w:space="0" w:color="auto"/>
            <w:bottom w:val="none" w:sz="0" w:space="0" w:color="auto"/>
            <w:right w:val="none" w:sz="0" w:space="0" w:color="auto"/>
          </w:divBdr>
        </w:div>
        <w:div w:id="2010601125">
          <w:marLeft w:val="0"/>
          <w:marRight w:val="0"/>
          <w:marTop w:val="0"/>
          <w:marBottom w:val="0"/>
          <w:divBdr>
            <w:top w:val="none" w:sz="0" w:space="0" w:color="auto"/>
            <w:left w:val="none" w:sz="0" w:space="0" w:color="auto"/>
            <w:bottom w:val="none" w:sz="0" w:space="0" w:color="auto"/>
            <w:right w:val="none" w:sz="0" w:space="0" w:color="auto"/>
          </w:divBdr>
        </w:div>
      </w:divsChild>
    </w:div>
    <w:div w:id="747339528">
      <w:bodyDiv w:val="1"/>
      <w:marLeft w:val="0"/>
      <w:marRight w:val="0"/>
      <w:marTop w:val="0"/>
      <w:marBottom w:val="0"/>
      <w:divBdr>
        <w:top w:val="none" w:sz="0" w:space="0" w:color="auto"/>
        <w:left w:val="none" w:sz="0" w:space="0" w:color="auto"/>
        <w:bottom w:val="none" w:sz="0" w:space="0" w:color="auto"/>
        <w:right w:val="none" w:sz="0" w:space="0" w:color="auto"/>
      </w:divBdr>
    </w:div>
    <w:div w:id="768819745">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854618297">
      <w:bodyDiv w:val="1"/>
      <w:marLeft w:val="0"/>
      <w:marRight w:val="0"/>
      <w:marTop w:val="0"/>
      <w:marBottom w:val="0"/>
      <w:divBdr>
        <w:top w:val="none" w:sz="0" w:space="0" w:color="auto"/>
        <w:left w:val="none" w:sz="0" w:space="0" w:color="auto"/>
        <w:bottom w:val="none" w:sz="0" w:space="0" w:color="auto"/>
        <w:right w:val="none" w:sz="0" w:space="0" w:color="auto"/>
      </w:divBdr>
    </w:div>
    <w:div w:id="952397241">
      <w:bodyDiv w:val="1"/>
      <w:marLeft w:val="0"/>
      <w:marRight w:val="0"/>
      <w:marTop w:val="0"/>
      <w:marBottom w:val="0"/>
      <w:divBdr>
        <w:top w:val="none" w:sz="0" w:space="0" w:color="auto"/>
        <w:left w:val="none" w:sz="0" w:space="0" w:color="auto"/>
        <w:bottom w:val="none" w:sz="0" w:space="0" w:color="auto"/>
        <w:right w:val="none" w:sz="0" w:space="0" w:color="auto"/>
      </w:divBdr>
      <w:divsChild>
        <w:div w:id="1595280372">
          <w:marLeft w:val="0"/>
          <w:marRight w:val="0"/>
          <w:marTop w:val="0"/>
          <w:marBottom w:val="0"/>
          <w:divBdr>
            <w:top w:val="none" w:sz="0" w:space="0" w:color="auto"/>
            <w:left w:val="none" w:sz="0" w:space="0" w:color="auto"/>
            <w:bottom w:val="none" w:sz="0" w:space="0" w:color="auto"/>
            <w:right w:val="none" w:sz="0" w:space="0" w:color="auto"/>
          </w:divBdr>
        </w:div>
        <w:div w:id="667951524">
          <w:marLeft w:val="0"/>
          <w:marRight w:val="0"/>
          <w:marTop w:val="0"/>
          <w:marBottom w:val="0"/>
          <w:divBdr>
            <w:top w:val="none" w:sz="0" w:space="0" w:color="auto"/>
            <w:left w:val="none" w:sz="0" w:space="0" w:color="auto"/>
            <w:bottom w:val="none" w:sz="0" w:space="0" w:color="auto"/>
            <w:right w:val="none" w:sz="0" w:space="0" w:color="auto"/>
          </w:divBdr>
        </w:div>
        <w:div w:id="417024466">
          <w:marLeft w:val="0"/>
          <w:marRight w:val="0"/>
          <w:marTop w:val="0"/>
          <w:marBottom w:val="0"/>
          <w:divBdr>
            <w:top w:val="none" w:sz="0" w:space="0" w:color="auto"/>
            <w:left w:val="none" w:sz="0" w:space="0" w:color="auto"/>
            <w:bottom w:val="none" w:sz="0" w:space="0" w:color="auto"/>
            <w:right w:val="none" w:sz="0" w:space="0" w:color="auto"/>
          </w:divBdr>
        </w:div>
        <w:div w:id="293947428">
          <w:marLeft w:val="0"/>
          <w:marRight w:val="0"/>
          <w:marTop w:val="0"/>
          <w:marBottom w:val="0"/>
          <w:divBdr>
            <w:top w:val="none" w:sz="0" w:space="0" w:color="auto"/>
            <w:left w:val="none" w:sz="0" w:space="0" w:color="auto"/>
            <w:bottom w:val="none" w:sz="0" w:space="0" w:color="auto"/>
            <w:right w:val="none" w:sz="0" w:space="0" w:color="auto"/>
          </w:divBdr>
        </w:div>
        <w:div w:id="609551385">
          <w:marLeft w:val="0"/>
          <w:marRight w:val="0"/>
          <w:marTop w:val="0"/>
          <w:marBottom w:val="0"/>
          <w:divBdr>
            <w:top w:val="none" w:sz="0" w:space="0" w:color="auto"/>
            <w:left w:val="none" w:sz="0" w:space="0" w:color="auto"/>
            <w:bottom w:val="none" w:sz="0" w:space="0" w:color="auto"/>
            <w:right w:val="none" w:sz="0" w:space="0" w:color="auto"/>
          </w:divBdr>
        </w:div>
      </w:divsChild>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330526896">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52966519">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286">
      <w:bodyDiv w:val="1"/>
      <w:marLeft w:val="0"/>
      <w:marRight w:val="0"/>
      <w:marTop w:val="0"/>
      <w:marBottom w:val="0"/>
      <w:divBdr>
        <w:top w:val="none" w:sz="0" w:space="0" w:color="auto"/>
        <w:left w:val="none" w:sz="0" w:space="0" w:color="auto"/>
        <w:bottom w:val="none" w:sz="0" w:space="0" w:color="auto"/>
        <w:right w:val="none" w:sz="0" w:space="0" w:color="auto"/>
      </w:divBdr>
      <w:divsChild>
        <w:div w:id="710035687">
          <w:marLeft w:val="0"/>
          <w:marRight w:val="0"/>
          <w:marTop w:val="0"/>
          <w:marBottom w:val="0"/>
          <w:divBdr>
            <w:top w:val="none" w:sz="0" w:space="0" w:color="auto"/>
            <w:left w:val="none" w:sz="0" w:space="0" w:color="auto"/>
            <w:bottom w:val="none" w:sz="0" w:space="0" w:color="auto"/>
            <w:right w:val="none" w:sz="0" w:space="0" w:color="auto"/>
          </w:divBdr>
        </w:div>
        <w:div w:id="1822845075">
          <w:marLeft w:val="0"/>
          <w:marRight w:val="0"/>
          <w:marTop w:val="0"/>
          <w:marBottom w:val="0"/>
          <w:divBdr>
            <w:top w:val="none" w:sz="0" w:space="0" w:color="auto"/>
            <w:left w:val="none" w:sz="0" w:space="0" w:color="auto"/>
            <w:bottom w:val="none" w:sz="0" w:space="0" w:color="auto"/>
            <w:right w:val="none" w:sz="0" w:space="0" w:color="auto"/>
          </w:divBdr>
        </w:div>
        <w:div w:id="71242890">
          <w:marLeft w:val="0"/>
          <w:marRight w:val="0"/>
          <w:marTop w:val="0"/>
          <w:marBottom w:val="0"/>
          <w:divBdr>
            <w:top w:val="none" w:sz="0" w:space="0" w:color="auto"/>
            <w:left w:val="none" w:sz="0" w:space="0" w:color="auto"/>
            <w:bottom w:val="none" w:sz="0" w:space="0" w:color="auto"/>
            <w:right w:val="none" w:sz="0" w:space="0" w:color="auto"/>
          </w:divBdr>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cse.org/sites/default/files/Mission_Critical.pdf" TargetMode="External"/><Relationship Id="rId18" Type="http://schemas.openxmlformats.org/officeDocument/2006/relationships/hyperlink" Target="https://www.gao.gov/products/gao-19-95"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sac.org/about/affordable-connectivity-program/acp-enrollment-and-claims-tracker/additional-acp-data/" TargetMode="External"/><Relationship Id="rId25" Type="http://schemas.openxmlformats.org/officeDocument/2006/relationships/hyperlink" Target="https://bdtrust.org/higher-educatio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udentaid.gov/data-center/student/title-iv" TargetMode="External"/><Relationship Id="rId20" Type="http://schemas.openxmlformats.org/officeDocument/2006/relationships/image" Target="media/image2.png"/><Relationship Id="rId29" Type="http://schemas.openxmlformats.org/officeDocument/2006/relationships/hyperlink" Target="https://www.gao.gov/products/gao-19-9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usac.org/about/affordable-connectivity-program/acp-enrollment-and-claims-tracker/additional-acp-data/" TargetMode="External"/><Relationship Id="rId23" Type="http://schemas.openxmlformats.org/officeDocument/2006/relationships/image" Target="media/image5.png"/><Relationship Id="rId28" Type="http://schemas.openxmlformats.org/officeDocument/2006/relationships/hyperlink" Target="https://bdtrust.org/bolstering-benefits-access-introducing-benefits-data-trust%E2%80%99s-new-data-sharing-playboo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ao.gov/products/gao-19-95" TargetMode="External"/><Relationship Id="rId31" Type="http://schemas.openxmlformats.org/officeDocument/2006/relationships/hyperlink" Target="https://www.luminafoundation.org/files/resources/benefits-access-for-college-comple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aid.gov/data-center/student/title-iv" TargetMode="External"/><Relationship Id="rId22" Type="http://schemas.openxmlformats.org/officeDocument/2006/relationships/image" Target="media/image4.png"/><Relationship Id="rId27" Type="http://schemas.openxmlformats.org/officeDocument/2006/relationships/hyperlink" Target="https://bdtrust.org/bdt_higher-ed_basic-needs-insecurities_v4.pdf" TargetMode="External"/><Relationship Id="rId30" Type="http://schemas.openxmlformats.org/officeDocument/2006/relationships/hyperlink" Target="https://fsapartners.ed.gov/knowledge-center/library/dear-colleague-letters/2022-01-20/use-fafsa-data-administer-federal-programs"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bdtru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dtrus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overtyactionlab.org/evaluation/snap-take-evaluation" TargetMode="External"/><Relationship Id="rId2" Type="http://schemas.openxmlformats.org/officeDocument/2006/relationships/hyperlink" Target="https://www.fns.usda.gov/pd/supplemental-nutrition-assistance-program-snap" TargetMode="External"/><Relationship Id="rId1" Type="http://schemas.openxmlformats.org/officeDocument/2006/relationships/hyperlink" Target="https://www.gao.gov/products/gao-19-95" TargetMode="External"/><Relationship Id="rId4" Type="http://schemas.openxmlformats.org/officeDocument/2006/relationships/hyperlink" Target="https://www.nytimes.com/2019/12/10/upshot/irs-letter-health-insurance-fine-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6" ma:contentTypeDescription="Create a new document." ma:contentTypeScope="" ma:versionID="d332611553a3c3f7b898b12ab8ba055d">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122dabb5abca109b0d8aa230aeee5f47"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fc6803-8ce3-4d8a-b63a-e5488cf14bb9"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1b39085-943e-4773-964e-cfb9f4e1bd78" xsi:nil="true"/>
    <lcf76f155ced4ddcb4097134ff3c332f xmlns="8b0d4629-0d75-4330-99db-435a0df50780">
      <Terms xmlns="http://schemas.microsoft.com/office/infopath/2007/PartnerControls"/>
    </lcf76f155ced4ddcb4097134ff3c332f>
    <_Flow_SignoffStatus xmlns="8b0d4629-0d75-4330-99db-435a0df5078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2.xml><?xml version="1.0" encoding="utf-8"?>
<ds:datastoreItem xmlns:ds="http://schemas.openxmlformats.org/officeDocument/2006/customXml" ds:itemID="{6697E8A9-AC1C-450A-8B37-DEEA71F84B52}">
  <ds:schemaRefs>
    <ds:schemaRef ds:uri="http://schemas.microsoft.com/sharepoint/events"/>
  </ds:schemaRefs>
</ds:datastoreItem>
</file>

<file path=customXml/itemProps3.xml><?xml version="1.0" encoding="utf-8"?>
<ds:datastoreItem xmlns:ds="http://schemas.openxmlformats.org/officeDocument/2006/customXml" ds:itemID="{E7FAB2E5-53B4-4763-8EF0-BDC705AB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 ds:uri="8b0d4629-0d75-4330-99db-435a0df50780"/>
  </ds:schemaRefs>
</ds:datastoreItem>
</file>

<file path=customXml/itemProps5.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58</cp:revision>
  <cp:lastPrinted>2021-08-30T20:03:00Z</cp:lastPrinted>
  <dcterms:created xsi:type="dcterms:W3CDTF">2021-11-11T19:34:00Z</dcterms:created>
  <dcterms:modified xsi:type="dcterms:W3CDTF">2023-02-09T19:15:00Z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0x010100159744A9AD36144AA0685B0A360B76B3</vt:lpwstr>
  </property>
</Properties>
</file>